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240" w:beforeLines="100" w:line="312" w:lineRule="auto"/>
        <w:jc w:val="center"/>
        <w:rPr>
          <w:rFonts w:hint="eastAsia" w:ascii="宋体" w:hAnsi="宋体" w:cs="宋体"/>
          <w:b/>
          <w:color w:val="auto"/>
          <w:szCs w:val="21"/>
          <w:highlight w:val="none"/>
        </w:rPr>
      </w:pPr>
      <w:bookmarkStart w:id="135" w:name="_GoBack"/>
    </w:p>
    <w:p>
      <w:pPr>
        <w:spacing w:before="240" w:beforeLines="100" w:line="312" w:lineRule="auto"/>
        <w:jc w:val="center"/>
        <w:rPr>
          <w:rFonts w:hint="eastAsia" w:ascii="宋体" w:hAnsi="宋体" w:cs="宋体"/>
          <w:bCs/>
          <w:color w:val="auto"/>
          <w:sz w:val="36"/>
          <w:szCs w:val="36"/>
          <w:highlight w:val="none"/>
        </w:rPr>
      </w:pPr>
      <w:r>
        <w:rPr>
          <w:rFonts w:hint="eastAsia" w:ascii="宋体" w:hAnsi="宋体" w:cs="宋体"/>
          <w:bCs/>
          <w:color w:val="auto"/>
          <w:sz w:val="36"/>
          <w:szCs w:val="36"/>
          <w:highlight w:val="none"/>
        </w:rPr>
        <w:t>衢州市第三医院</w:t>
      </w:r>
      <w:r>
        <w:rPr>
          <w:rFonts w:hint="eastAsia" w:ascii="宋体" w:hAnsi="宋体" w:cs="宋体"/>
          <w:bCs/>
          <w:color w:val="auto"/>
          <w:sz w:val="36"/>
          <w:szCs w:val="36"/>
          <w:highlight w:val="none"/>
          <w:lang w:eastAsia="zh-CN"/>
        </w:rPr>
        <w:t>2022-2024年度食堂蔬菜（包括干货、豆制品、半成品食品）及水果配送采购项目</w:t>
      </w:r>
    </w:p>
    <w:p>
      <w:pPr>
        <w:pStyle w:val="2"/>
        <w:spacing w:line="312" w:lineRule="auto"/>
        <w:rPr>
          <w:rFonts w:hint="eastAsia" w:ascii="宋体" w:hAnsi="宋体" w:eastAsia="宋体" w:cs="宋体"/>
          <w:color w:val="auto"/>
          <w:highlight w:val="none"/>
        </w:rPr>
      </w:pPr>
    </w:p>
    <w:p>
      <w:pPr>
        <w:spacing w:before="600" w:beforeLines="250" w:line="312" w:lineRule="auto"/>
        <w:jc w:val="center"/>
        <w:rPr>
          <w:rFonts w:hint="eastAsia" w:ascii="宋体" w:hAnsi="宋体" w:cs="宋体"/>
          <w:bCs/>
          <w:color w:val="auto"/>
          <w:sz w:val="90"/>
          <w:szCs w:val="90"/>
          <w:highlight w:val="none"/>
        </w:rPr>
      </w:pPr>
      <w:r>
        <w:rPr>
          <w:rFonts w:hint="eastAsia" w:ascii="宋体" w:hAnsi="宋体" w:cs="宋体"/>
          <w:bCs/>
          <w:color w:val="auto"/>
          <w:sz w:val="90"/>
          <w:szCs w:val="90"/>
          <w:highlight w:val="none"/>
        </w:rPr>
        <w:t>竞争性磋商文件</w:t>
      </w:r>
    </w:p>
    <w:p>
      <w:pPr>
        <w:spacing w:line="312" w:lineRule="auto"/>
        <w:ind w:firstLine="1699" w:firstLineChars="529"/>
        <w:rPr>
          <w:rFonts w:hint="eastAsia" w:ascii="宋体" w:hAnsi="宋体" w:cs="宋体"/>
          <w:b/>
          <w:color w:val="auto"/>
          <w:sz w:val="32"/>
          <w:szCs w:val="32"/>
          <w:highlight w:val="none"/>
        </w:rPr>
      </w:pPr>
    </w:p>
    <w:p>
      <w:pPr>
        <w:pStyle w:val="2"/>
        <w:rPr>
          <w:rFonts w:hint="eastAsia"/>
          <w:color w:val="auto"/>
          <w:highlight w:val="none"/>
        </w:rPr>
      </w:pPr>
    </w:p>
    <w:p>
      <w:pPr>
        <w:pStyle w:val="2"/>
        <w:spacing w:line="312" w:lineRule="auto"/>
        <w:rPr>
          <w:rFonts w:hint="eastAsia" w:ascii="宋体" w:hAnsi="宋体" w:eastAsia="宋体" w:cs="宋体"/>
          <w:b w:val="0"/>
          <w:color w:val="auto"/>
          <w:sz w:val="32"/>
          <w:szCs w:val="32"/>
          <w:highlight w:val="none"/>
        </w:rPr>
      </w:pPr>
    </w:p>
    <w:p>
      <w:pPr>
        <w:pStyle w:val="2"/>
        <w:spacing w:line="312" w:lineRule="auto"/>
        <w:rPr>
          <w:rFonts w:hint="eastAsia" w:ascii="宋体" w:hAnsi="宋体" w:eastAsia="宋体" w:cs="宋体"/>
          <w:b w:val="0"/>
          <w:color w:val="auto"/>
          <w:sz w:val="32"/>
          <w:szCs w:val="32"/>
          <w:highlight w:val="none"/>
        </w:rPr>
      </w:pPr>
    </w:p>
    <w:p>
      <w:pPr>
        <w:spacing w:line="312" w:lineRule="auto"/>
        <w:ind w:firstLine="1059" w:firstLineChars="331"/>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rPr>
        <w:t>项目编号：</w:t>
      </w:r>
      <w:r>
        <w:rPr>
          <w:rFonts w:hint="eastAsia" w:ascii="宋体" w:hAnsi="宋体" w:cs="宋体"/>
          <w:bCs/>
          <w:color w:val="auto"/>
          <w:sz w:val="32"/>
          <w:szCs w:val="32"/>
          <w:highlight w:val="none"/>
          <w:lang w:eastAsia="zh-CN"/>
        </w:rPr>
        <w:t>ZJCT-Z20220097</w:t>
      </w:r>
      <w:r>
        <w:rPr>
          <w:rFonts w:hint="eastAsia" w:ascii="宋体" w:hAnsi="宋体" w:cs="宋体"/>
          <w:bCs/>
          <w:color w:val="auto"/>
          <w:sz w:val="32"/>
          <w:szCs w:val="32"/>
          <w:highlight w:val="none"/>
          <w:lang w:val="en-US" w:eastAsia="zh-CN"/>
        </w:rPr>
        <w:t xml:space="preserve"> </w:t>
      </w:r>
    </w:p>
    <w:p>
      <w:pPr>
        <w:spacing w:line="312" w:lineRule="auto"/>
        <w:ind w:left="2522" w:leftChars="500" w:hanging="1472" w:hangingChars="460"/>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rPr>
        <w:t>项目名称：</w:t>
      </w:r>
      <w:r>
        <w:rPr>
          <w:rFonts w:hint="eastAsia" w:ascii="宋体" w:hAnsi="宋体" w:cs="宋体"/>
          <w:bCs/>
          <w:color w:val="auto"/>
          <w:sz w:val="32"/>
          <w:szCs w:val="32"/>
          <w:highlight w:val="none"/>
          <w:lang w:eastAsia="zh-CN"/>
        </w:rPr>
        <w:t>2022-2024年度食堂蔬菜（包括干货、豆制品、半成品食品）及水果配送采购项目</w:t>
      </w:r>
    </w:p>
    <w:p>
      <w:pPr>
        <w:spacing w:line="312" w:lineRule="auto"/>
        <w:ind w:firstLine="1059" w:firstLineChars="331"/>
        <w:rPr>
          <w:rFonts w:hint="eastAsia" w:ascii="宋体" w:hAnsi="宋体" w:cs="宋体"/>
          <w:bCs/>
          <w:color w:val="auto"/>
          <w:sz w:val="32"/>
          <w:szCs w:val="32"/>
          <w:highlight w:val="none"/>
        </w:rPr>
      </w:pPr>
      <w:r>
        <w:rPr>
          <w:rFonts w:hint="eastAsia" w:ascii="宋体" w:hAnsi="宋体" w:cs="宋体"/>
          <w:bCs/>
          <w:color w:val="auto"/>
          <w:sz w:val="32"/>
          <w:szCs w:val="32"/>
          <w:highlight w:val="none"/>
        </w:rPr>
        <w:t>委托单位：衢州市第三医院</w:t>
      </w:r>
    </w:p>
    <w:p>
      <w:pPr>
        <w:spacing w:line="312" w:lineRule="auto"/>
        <w:ind w:firstLine="1059" w:firstLineChars="331"/>
        <w:rPr>
          <w:rFonts w:hint="eastAsia" w:ascii="宋体" w:hAnsi="宋体" w:cs="宋体"/>
          <w:bCs/>
          <w:color w:val="auto"/>
          <w:sz w:val="32"/>
          <w:szCs w:val="32"/>
          <w:highlight w:val="none"/>
        </w:rPr>
      </w:pPr>
      <w:r>
        <w:rPr>
          <w:rFonts w:hint="eastAsia" w:ascii="宋体" w:hAnsi="宋体" w:cs="宋体"/>
          <w:bCs/>
          <w:color w:val="auto"/>
          <w:sz w:val="32"/>
          <w:szCs w:val="32"/>
          <w:highlight w:val="none"/>
        </w:rPr>
        <w:t>代理机构：浙江省成套工程有限公司</w:t>
      </w:r>
    </w:p>
    <w:p>
      <w:pPr>
        <w:pStyle w:val="2"/>
        <w:spacing w:line="312" w:lineRule="auto"/>
        <w:rPr>
          <w:rFonts w:hint="eastAsia" w:ascii="宋体" w:hAnsi="宋体" w:eastAsia="宋体" w:cs="宋体"/>
          <w:bCs w:val="0"/>
          <w:color w:val="auto"/>
          <w:sz w:val="32"/>
          <w:szCs w:val="32"/>
          <w:highlight w:val="none"/>
        </w:rPr>
      </w:pPr>
    </w:p>
    <w:p>
      <w:pPr>
        <w:pStyle w:val="2"/>
        <w:spacing w:line="312" w:lineRule="auto"/>
        <w:rPr>
          <w:rFonts w:hint="eastAsia" w:ascii="宋体" w:hAnsi="宋体" w:eastAsia="宋体" w:cs="宋体"/>
          <w:bCs w:val="0"/>
          <w:color w:val="auto"/>
          <w:sz w:val="32"/>
          <w:szCs w:val="32"/>
          <w:highlight w:val="none"/>
        </w:rPr>
      </w:pPr>
    </w:p>
    <w:p>
      <w:pPr>
        <w:spacing w:line="312" w:lineRule="auto"/>
        <w:jc w:val="center"/>
        <w:rPr>
          <w:rFonts w:hint="eastAsia" w:ascii="宋体" w:hAnsi="宋体" w:cs="宋体"/>
          <w:bCs/>
          <w:color w:val="auto"/>
          <w:sz w:val="32"/>
          <w:szCs w:val="32"/>
          <w:highlight w:val="none"/>
        </w:rPr>
        <w:sectPr>
          <w:headerReference r:id="rId3" w:type="default"/>
          <w:footerReference r:id="rId4" w:type="default"/>
          <w:footerReference r:id="rId5" w:type="even"/>
          <w:pgSz w:w="11906" w:h="16838"/>
          <w:pgMar w:top="1440" w:right="1230" w:bottom="1440" w:left="1230" w:header="851" w:footer="992" w:gutter="567"/>
          <w:pgBorders>
            <w:top w:val="none" w:sz="0" w:space="0"/>
            <w:left w:val="none" w:sz="0" w:space="0"/>
            <w:bottom w:val="none" w:sz="0" w:space="0"/>
            <w:right w:val="none" w:sz="0" w:space="0"/>
          </w:pgBorders>
          <w:cols w:space="720" w:num="1"/>
          <w:docGrid w:linePitch="312" w:charSpace="0"/>
        </w:sectPr>
      </w:pPr>
      <w:r>
        <w:rPr>
          <w:rFonts w:hint="eastAsia" w:ascii="宋体" w:hAnsi="宋体" w:cs="宋体"/>
          <w:bCs/>
          <w:color w:val="auto"/>
          <w:sz w:val="32"/>
          <w:szCs w:val="32"/>
          <w:highlight w:val="none"/>
          <w:lang w:eastAsia="zh-CN"/>
        </w:rPr>
        <w:t>2022年</w:t>
      </w:r>
      <w:r>
        <w:rPr>
          <w:rFonts w:hint="eastAsia" w:ascii="宋体" w:hAnsi="宋体" w:cs="宋体"/>
          <w:bCs/>
          <w:color w:val="auto"/>
          <w:sz w:val="32"/>
          <w:szCs w:val="32"/>
          <w:highlight w:val="none"/>
          <w:lang w:val="en-US" w:eastAsia="zh-CN"/>
        </w:rPr>
        <w:t>8</w:t>
      </w:r>
      <w:r>
        <w:rPr>
          <w:rFonts w:hint="eastAsia" w:ascii="宋体" w:hAnsi="宋体" w:cs="宋体"/>
          <w:bCs/>
          <w:color w:val="auto"/>
          <w:sz w:val="32"/>
          <w:szCs w:val="32"/>
          <w:highlight w:val="none"/>
        </w:rPr>
        <w:t>月</w:t>
      </w:r>
    </w:p>
    <w:p>
      <w:pPr>
        <w:spacing w:line="312" w:lineRule="auto"/>
        <w:jc w:val="center"/>
        <w:rPr>
          <w:rFonts w:hint="eastAsia" w:ascii="宋体" w:hAnsi="宋体" w:cs="宋体"/>
          <w:b/>
          <w:color w:val="auto"/>
          <w:szCs w:val="21"/>
          <w:highlight w:val="none"/>
        </w:rPr>
      </w:pPr>
      <w:bookmarkStart w:id="0" w:name="_Toc322352981"/>
      <w:bookmarkStart w:id="1" w:name="_Toc350256312"/>
      <w:bookmarkStart w:id="2" w:name="_Toc354401488"/>
      <w:r>
        <w:rPr>
          <w:rFonts w:hint="eastAsia" w:ascii="宋体" w:hAnsi="宋体" w:cs="宋体"/>
          <w:b/>
          <w:color w:val="auto"/>
          <w:szCs w:val="21"/>
          <w:highlight w:val="none"/>
        </w:rPr>
        <w:t>目 录</w:t>
      </w:r>
    </w:p>
    <w:bookmarkEnd w:id="0"/>
    <w:bookmarkEnd w:id="1"/>
    <w:bookmarkEnd w:id="2"/>
    <w:p>
      <w:pPr>
        <w:pStyle w:val="41"/>
        <w:tabs>
          <w:tab w:val="right" w:leader="dot" w:pos="9184"/>
          <w:tab w:val="clear" w:pos="9118"/>
        </w:tabs>
        <w:spacing w:line="312" w:lineRule="auto"/>
        <w:rPr>
          <w:rFonts w:hint="eastAsia" w:ascii="宋体" w:hAnsi="宋体" w:eastAsia="宋体" w:cs="宋体"/>
          <w:color w:val="auto"/>
          <w:sz w:val="21"/>
          <w:szCs w:val="21"/>
          <w:highlight w:val="none"/>
        </w:rPr>
      </w:pPr>
      <w:bookmarkStart w:id="3" w:name="_Toc391380567"/>
      <w:bookmarkStart w:id="4" w:name="_Toc356371429"/>
      <w:bookmarkStart w:id="5" w:name="_Toc354491895"/>
    </w:p>
    <w:p>
      <w:pPr>
        <w:pStyle w:val="41"/>
        <w:tabs>
          <w:tab w:val="right" w:leader="dot" w:pos="9184"/>
          <w:tab w:val="clear" w:pos="911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TOC \o "1-3" \h \z \u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_Toc21037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第一章  竞争性磋商公告</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_Toc21037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41"/>
        <w:tabs>
          <w:tab w:val="right" w:leader="dot" w:pos="9184"/>
          <w:tab w:val="clear" w:pos="911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_Toc19786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第二章  投标须知前附表及投标须知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_Toc19786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_Toc29858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一、投标须知前附表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_Toc29858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_Toc15104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二、投标须知</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_Toc15104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_Toc17801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三、磋商文件说明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_Toc17801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_Toc11074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四、磋商文件的澄清及修改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_Toc11074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_Toc15181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五、磋商响应文件的编制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_Toc15181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_Toc4143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六、磋商响应文件的签署及规定</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_Toc4143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_Toc17479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七、磋商响应文件的递交</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_Toc17479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_Toc15250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八、投标无效的情形</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_Toc15250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_Toc26025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九、废标的情形</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_Toc26025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_Toc5998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十、开标和评标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_Toc5998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_Toc4656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十一、评标结果公示</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_Toc4656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_Toc20776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十二、质疑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_Toc20776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_Toc10297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十三、授予合同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_Toc10297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_Toc16904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十五、法律责任</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_Toc16904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_Toc18116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十六、招标代理服务费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_Toc18116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_Toc29828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lang w:val="zh-CN"/>
        </w:rPr>
        <w:t>十五、其他</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_Toc29828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41"/>
        <w:tabs>
          <w:tab w:val="right" w:leader="dot" w:pos="9184"/>
          <w:tab w:val="clear" w:pos="911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_Toc1205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第三章  采购内容及要求</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_Toc1205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41"/>
        <w:tabs>
          <w:tab w:val="right" w:leader="dot" w:pos="9184"/>
          <w:tab w:val="clear" w:pos="911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_Toc10768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第四章  合同主要条款</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_Toc10768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41"/>
        <w:tabs>
          <w:tab w:val="right" w:leader="dot" w:pos="9184"/>
          <w:tab w:val="clear" w:pos="911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_Toc18003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lang w:val="zh-CN"/>
        </w:rPr>
        <w:t>第五章</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评标办法及开标程序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_Toc18003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_Toc8460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lang w:val="zh-CN"/>
        </w:rPr>
        <w:t>一、磋商小组的组成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_Toc8460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_Toc29233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lang w:val="zh-CN"/>
        </w:rPr>
        <w:t>二、评标原则</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_Toc29233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_Toc31619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lang w:val="zh-CN"/>
        </w:rPr>
        <w:t>三、 评分标准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_Toc31619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_Toc12223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lang w:val="zh-CN"/>
        </w:rPr>
        <w:t>四、开评标程序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_Toc12223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_Toc24837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lang w:val="zh-CN"/>
        </w:rPr>
        <w:t>五、定标办法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_Toc24837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_Toc2819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lang w:val="zh-CN"/>
        </w:rPr>
        <w:t>六、确定中标人</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_Toc2819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52"/>
        <w:tabs>
          <w:tab w:val="right" w:leader="dot" w:pos="9184"/>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_Toc7848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lang w:val="zh-CN"/>
        </w:rPr>
        <w:t>七、投标人义务</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_Toc7848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41"/>
        <w:tabs>
          <w:tab w:val="right" w:leader="dot" w:pos="9184"/>
          <w:tab w:val="clear" w:pos="911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_Toc28041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第六章  应提交的有关格式范例</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_Toc28041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18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41"/>
        <w:tabs>
          <w:tab w:val="right" w:leader="dot" w:pos="9184"/>
          <w:tab w:val="clear" w:pos="9118"/>
        </w:tabs>
        <w:spacing w:line="312"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\l _Toc14840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lang w:val="zh-CN"/>
        </w:rPr>
        <w:t>第七章  政府采购政策功能相关说明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30</w:t>
      </w:r>
      <w:r>
        <w:rPr>
          <w:rFonts w:hint="eastAsia" w:ascii="宋体" w:hAnsi="宋体" w:eastAsia="宋体" w:cs="宋体"/>
          <w:color w:val="auto"/>
          <w:sz w:val="21"/>
          <w:szCs w:val="21"/>
          <w:highlight w:val="none"/>
        </w:rPr>
        <w:fldChar w:fldCharType="end"/>
      </w:r>
    </w:p>
    <w:p>
      <w:pPr>
        <w:tabs>
          <w:tab w:val="center" w:pos="4592"/>
          <w:tab w:val="left" w:pos="7665"/>
        </w:tabs>
        <w:snapToGrid w:val="0"/>
        <w:spacing w:line="312" w:lineRule="auto"/>
        <w:jc w:val="center"/>
        <w:outlineLvl w:val="0"/>
        <w:rPr>
          <w:rFonts w:hint="eastAsia" w:ascii="宋体" w:hAnsi="宋体" w:cs="宋体"/>
          <w:b/>
          <w:color w:val="auto"/>
          <w:szCs w:val="21"/>
          <w:highlight w:val="none"/>
        </w:rPr>
      </w:pPr>
    </w:p>
    <w:p>
      <w:pPr>
        <w:spacing w:line="312" w:lineRule="auto"/>
        <w:jc w:val="center"/>
        <w:rPr>
          <w:rFonts w:hint="eastAsia" w:ascii="宋体" w:hAnsi="宋体" w:cs="宋体"/>
          <w:b/>
          <w:color w:val="auto"/>
          <w:szCs w:val="21"/>
          <w:highlight w:val="none"/>
        </w:rPr>
        <w:sectPr>
          <w:headerReference r:id="rId6" w:type="default"/>
          <w:footerReference r:id="rId7" w:type="default"/>
          <w:pgSz w:w="11906" w:h="16838"/>
          <w:pgMar w:top="1389" w:right="1134" w:bottom="1304" w:left="1304" w:header="851" w:footer="992" w:gutter="284"/>
          <w:pgBorders>
            <w:top w:val="none" w:sz="0" w:space="0"/>
            <w:left w:val="none" w:sz="0" w:space="0"/>
            <w:bottom w:val="none" w:sz="0" w:space="0"/>
            <w:right w:val="none" w:sz="0" w:space="0"/>
          </w:pgBorders>
          <w:cols w:space="720" w:num="1"/>
          <w:docGrid w:linePitch="312" w:charSpace="0"/>
        </w:sectPr>
      </w:pPr>
    </w:p>
    <w:p>
      <w:pPr>
        <w:spacing w:line="312" w:lineRule="auto"/>
        <w:jc w:val="center"/>
        <w:outlineLvl w:val="0"/>
        <w:rPr>
          <w:rFonts w:hint="eastAsia" w:ascii="宋体" w:hAnsi="宋体" w:cs="宋体"/>
          <w:b/>
          <w:color w:val="auto"/>
          <w:szCs w:val="21"/>
          <w:highlight w:val="none"/>
        </w:rPr>
      </w:pPr>
      <w:bookmarkStart w:id="6" w:name="_Toc21037"/>
      <w:r>
        <w:rPr>
          <w:rFonts w:hint="eastAsia" w:ascii="宋体" w:hAnsi="宋体" w:cs="宋体"/>
          <w:b/>
          <w:color w:val="auto"/>
          <w:szCs w:val="21"/>
          <w:highlight w:val="none"/>
        </w:rPr>
        <w:t xml:space="preserve">第一章  </w:t>
      </w:r>
      <w:bookmarkEnd w:id="3"/>
      <w:bookmarkEnd w:id="4"/>
      <w:bookmarkEnd w:id="5"/>
      <w:r>
        <w:rPr>
          <w:rFonts w:hint="eastAsia" w:ascii="宋体" w:hAnsi="宋体" w:cs="宋体"/>
          <w:b/>
          <w:color w:val="auto"/>
          <w:szCs w:val="21"/>
          <w:highlight w:val="none"/>
        </w:rPr>
        <w:t>竞争性磋商公告</w:t>
      </w:r>
      <w:bookmarkEnd w:id="6"/>
    </w:p>
    <w:p>
      <w:pPr>
        <w:snapToGrid w:val="0"/>
        <w:spacing w:line="312" w:lineRule="auto"/>
        <w:ind w:firstLine="420" w:firstLineChars="200"/>
        <w:rPr>
          <w:rFonts w:hint="eastAsia" w:ascii="宋体" w:hAnsi="宋体" w:cs="宋体"/>
          <w:color w:val="auto"/>
          <w:szCs w:val="21"/>
          <w:highlight w:val="none"/>
        </w:rPr>
      </w:pPr>
      <w:bookmarkStart w:id="7" w:name="_Toc322352982"/>
      <w:bookmarkStart w:id="8" w:name="_Toc354491896"/>
      <w:bookmarkStart w:id="9" w:name="_Toc356371430"/>
      <w:r>
        <w:rPr>
          <w:rFonts w:hint="eastAsia" w:ascii="宋体" w:hAnsi="宋体" w:cs="宋体"/>
          <w:color w:val="auto"/>
          <w:szCs w:val="21"/>
          <w:highlight w:val="none"/>
        </w:rPr>
        <w:t>参照《中华人民共和国政府采购法》等有关规定，衢州市第三医院委托浙江省成套工程有限公司，就衢州市第三医院</w:t>
      </w:r>
      <w:r>
        <w:rPr>
          <w:rFonts w:hint="eastAsia" w:ascii="宋体" w:hAnsi="宋体" w:cs="宋体"/>
          <w:color w:val="auto"/>
          <w:szCs w:val="21"/>
          <w:highlight w:val="none"/>
          <w:lang w:eastAsia="zh-CN"/>
        </w:rPr>
        <w:t>2022-2024年度食堂蔬菜（包括干货、豆制品、半成品食品）及水果配送采购项目</w:t>
      </w:r>
      <w:r>
        <w:rPr>
          <w:rFonts w:hint="eastAsia" w:ascii="宋体" w:hAnsi="宋体" w:cs="宋体"/>
          <w:color w:val="auto"/>
          <w:szCs w:val="21"/>
          <w:highlight w:val="none"/>
        </w:rPr>
        <w:t>进行竞争性磋商，欢迎国内合格的供应商前来投标。</w:t>
      </w:r>
    </w:p>
    <w:p>
      <w:pPr>
        <w:snapToGrid w:val="0"/>
        <w:spacing w:line="312" w:lineRule="auto"/>
        <w:ind w:firstLine="422" w:firstLineChars="200"/>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rPr>
        <w:t>一、项目编号：</w:t>
      </w:r>
      <w:r>
        <w:rPr>
          <w:rFonts w:hint="eastAsia" w:ascii="宋体" w:hAnsi="宋体" w:cs="宋体"/>
          <w:color w:val="auto"/>
          <w:szCs w:val="21"/>
          <w:highlight w:val="none"/>
          <w:lang w:eastAsia="zh-CN"/>
        </w:rPr>
        <w:t>ZJCT-Z20220097</w:t>
      </w:r>
    </w:p>
    <w:p>
      <w:pPr>
        <w:snapToGrid w:val="0"/>
        <w:spacing w:line="312" w:lineRule="auto"/>
        <w:ind w:firstLine="422" w:firstLineChars="200"/>
        <w:rPr>
          <w:rFonts w:hint="eastAsia" w:ascii="宋体" w:hAnsi="宋体" w:cs="宋体"/>
          <w:color w:val="auto"/>
          <w:szCs w:val="21"/>
          <w:highlight w:val="none"/>
        </w:rPr>
      </w:pPr>
      <w:r>
        <w:rPr>
          <w:rFonts w:hint="eastAsia" w:ascii="宋体" w:hAnsi="宋体" w:cs="宋体"/>
          <w:b/>
          <w:bCs/>
          <w:color w:val="auto"/>
          <w:szCs w:val="21"/>
          <w:highlight w:val="none"/>
        </w:rPr>
        <w:t>二、采购组织类型：</w:t>
      </w:r>
      <w:r>
        <w:rPr>
          <w:rFonts w:hint="eastAsia" w:ascii="宋体" w:hAnsi="宋体" w:cs="宋体"/>
          <w:color w:val="auto"/>
          <w:szCs w:val="21"/>
          <w:highlight w:val="none"/>
        </w:rPr>
        <w:t>自行采购</w:t>
      </w:r>
    </w:p>
    <w:p>
      <w:pPr>
        <w:snapToGrid w:val="0"/>
        <w:spacing w:line="312" w:lineRule="auto"/>
        <w:ind w:firstLine="422" w:firstLineChars="200"/>
        <w:rPr>
          <w:rFonts w:hint="eastAsia" w:ascii="宋体" w:hAnsi="宋体" w:eastAsia="宋体" w:cs="宋体"/>
          <w:color w:val="auto"/>
          <w:szCs w:val="21"/>
          <w:highlight w:val="none"/>
          <w:lang w:eastAsia="zh-CN"/>
        </w:rPr>
      </w:pPr>
      <w:r>
        <w:rPr>
          <w:rFonts w:hint="eastAsia" w:ascii="宋体" w:hAnsi="宋体" w:cs="宋体"/>
          <w:b/>
          <w:bCs/>
          <w:color w:val="auto"/>
          <w:szCs w:val="21"/>
          <w:highlight w:val="none"/>
        </w:rPr>
        <w:t>三、项目名称：</w:t>
      </w:r>
      <w:r>
        <w:rPr>
          <w:rFonts w:hint="eastAsia" w:ascii="宋体" w:hAnsi="宋体" w:cs="宋体"/>
          <w:color w:val="auto"/>
          <w:szCs w:val="21"/>
          <w:highlight w:val="none"/>
          <w:lang w:eastAsia="zh-CN"/>
        </w:rPr>
        <w:t>2022-2024年度食堂蔬菜（包括干货、豆制品、半成品食品）及水果配送采购项目</w:t>
      </w:r>
    </w:p>
    <w:p>
      <w:pPr>
        <w:snapToGrid w:val="0"/>
        <w:spacing w:line="312" w:lineRule="auto"/>
        <w:ind w:firstLine="422" w:firstLineChars="200"/>
        <w:rPr>
          <w:rFonts w:hint="eastAsia" w:ascii="宋体" w:hAnsi="宋体" w:cs="宋体"/>
          <w:color w:val="auto"/>
          <w:szCs w:val="21"/>
          <w:highlight w:val="none"/>
        </w:rPr>
      </w:pPr>
      <w:r>
        <w:rPr>
          <w:rFonts w:hint="eastAsia" w:ascii="宋体" w:hAnsi="宋体" w:cs="宋体"/>
          <w:b/>
          <w:bCs/>
          <w:color w:val="auto"/>
          <w:szCs w:val="21"/>
          <w:highlight w:val="none"/>
        </w:rPr>
        <w:t>四、采购单位：</w:t>
      </w:r>
      <w:r>
        <w:rPr>
          <w:rFonts w:hint="eastAsia" w:ascii="宋体" w:hAnsi="宋体" w:cs="宋体"/>
          <w:color w:val="auto"/>
          <w:szCs w:val="21"/>
          <w:highlight w:val="none"/>
        </w:rPr>
        <w:t>衢州市第三医院</w:t>
      </w:r>
    </w:p>
    <w:p>
      <w:pPr>
        <w:snapToGrid w:val="0"/>
        <w:spacing w:line="312"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五、招标内容及要求</w:t>
      </w:r>
    </w:p>
    <w:tbl>
      <w:tblPr>
        <w:tblStyle w:val="61"/>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666"/>
        <w:gridCol w:w="1200"/>
        <w:gridCol w:w="1770"/>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39" w:type="dxa"/>
            <w:noWrap w:val="0"/>
            <w:vAlign w:val="center"/>
          </w:tcPr>
          <w:p>
            <w:pPr>
              <w:snapToGrid w:val="0"/>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3666" w:type="dxa"/>
            <w:noWrap w:val="0"/>
            <w:vAlign w:val="center"/>
          </w:tcPr>
          <w:p>
            <w:pPr>
              <w:snapToGrid w:val="0"/>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1200" w:type="dxa"/>
            <w:noWrap w:val="0"/>
            <w:vAlign w:val="center"/>
          </w:tcPr>
          <w:p>
            <w:pPr>
              <w:snapToGrid w:val="0"/>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服务期限</w:t>
            </w:r>
          </w:p>
        </w:tc>
        <w:tc>
          <w:tcPr>
            <w:tcW w:w="1770" w:type="dxa"/>
            <w:noWrap w:val="0"/>
            <w:vAlign w:val="center"/>
          </w:tcPr>
          <w:p>
            <w:pPr>
              <w:snapToGrid w:val="0"/>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简要规格描述</w:t>
            </w:r>
          </w:p>
        </w:tc>
        <w:tc>
          <w:tcPr>
            <w:tcW w:w="2685" w:type="dxa"/>
            <w:noWrap w:val="0"/>
            <w:vAlign w:val="center"/>
          </w:tcPr>
          <w:p>
            <w:pPr>
              <w:snapToGrid w:val="0"/>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639" w:type="dxa"/>
            <w:noWrap w:val="0"/>
            <w:vAlign w:val="center"/>
          </w:tcPr>
          <w:p>
            <w:pPr>
              <w:snapToGrid w:val="0"/>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3666" w:type="dxa"/>
            <w:noWrap w:val="0"/>
            <w:vAlign w:val="center"/>
          </w:tcPr>
          <w:p>
            <w:pPr>
              <w:snapToGrid w:val="0"/>
              <w:spacing w:line="312"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2022-2024年度食堂蔬菜（包括干货、豆制品、半成品食品）及水果配送采购项目</w:t>
            </w:r>
          </w:p>
        </w:tc>
        <w:tc>
          <w:tcPr>
            <w:tcW w:w="1200" w:type="dxa"/>
            <w:noWrap w:val="0"/>
            <w:vAlign w:val="center"/>
          </w:tcPr>
          <w:p>
            <w:pPr>
              <w:snapToGrid w:val="0"/>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年</w:t>
            </w:r>
          </w:p>
        </w:tc>
        <w:tc>
          <w:tcPr>
            <w:tcW w:w="1770" w:type="dxa"/>
            <w:noWrap w:val="0"/>
            <w:vAlign w:val="center"/>
          </w:tcPr>
          <w:p>
            <w:pPr>
              <w:snapToGrid w:val="0"/>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详见磋商文件</w:t>
            </w:r>
          </w:p>
          <w:p>
            <w:pPr>
              <w:snapToGrid w:val="0"/>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第三章</w:t>
            </w:r>
          </w:p>
        </w:tc>
        <w:tc>
          <w:tcPr>
            <w:tcW w:w="2685" w:type="dxa"/>
            <w:noWrap w:val="0"/>
            <w:vAlign w:val="center"/>
          </w:tcPr>
          <w:p>
            <w:pPr>
              <w:snapToGrid w:val="0"/>
              <w:spacing w:line="312"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 w:val="21"/>
                <w:szCs w:val="21"/>
                <w:highlight w:val="none"/>
                <w:lang w:val="en-US" w:eastAsia="zh-CN"/>
              </w:rPr>
              <w:t>194</w:t>
            </w:r>
            <w:r>
              <w:rPr>
                <w:rFonts w:hint="eastAsia" w:ascii="宋体" w:hAnsi="宋体" w:cs="宋体"/>
                <w:color w:val="auto"/>
                <w:sz w:val="21"/>
                <w:szCs w:val="21"/>
                <w:highlight w:val="none"/>
              </w:rPr>
              <w:t>万元/年</w:t>
            </w:r>
          </w:p>
        </w:tc>
      </w:tr>
    </w:tbl>
    <w:p>
      <w:pPr>
        <w:snapToGrid w:val="0"/>
        <w:spacing w:line="312"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六、投标供应商资格要求</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1.符合《中华人民共和国政府采购法》第二十二条要求。</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eastAsia="宋体" w:cs="宋体"/>
          <w:highlight w:val="none"/>
        </w:rPr>
        <w:t>本项目不接受除大中型企业和小微企业组合以外的联合体投标</w:t>
      </w:r>
      <w:r>
        <w:rPr>
          <w:rFonts w:hint="eastAsia" w:ascii="宋体" w:hAnsi="宋体" w:eastAsia="宋体" w:cs="宋体"/>
          <w:szCs w:val="21"/>
          <w:highlight w:val="none"/>
        </w:rPr>
        <w:t>。</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3.其他条件</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（1）单位负责人为同一人或者存在直接控股、管理关系的不同投标人，不得参加同一合同项下的政府采购活动；</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szCs w:val="21"/>
          <w:highlight w:val="none"/>
          <w:lang w:eastAsia="zh-CN"/>
        </w:rPr>
      </w:pPr>
      <w:r>
        <w:rPr>
          <w:rFonts w:hint="eastAsia" w:ascii="宋体" w:hAnsi="宋体" w:eastAsia="宋体" w:cs="宋体"/>
          <w:szCs w:val="21"/>
          <w:highlight w:val="none"/>
        </w:rPr>
        <w:t>（2）投标人未被列入失信被执行人名单、重大税收违法案件当事人名单、政府采购严重违法失信行为记录名单，信用信息以信用中国网站（www.creditchina.gov.cn）、中国政府采购网（www.ccgp.gov.cn）公布为准</w:t>
      </w:r>
      <w:r>
        <w:rPr>
          <w:rFonts w:hint="eastAsia" w:ascii="宋体" w:hAnsi="宋体" w:cs="宋体"/>
          <w:szCs w:val="21"/>
          <w:highlight w:val="none"/>
          <w:lang w:eastAsia="zh-CN"/>
        </w:rPr>
        <w:t>；</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lang w:eastAsia="zh-CN"/>
        </w:rPr>
        <w:t>）投标人须具有</w:t>
      </w:r>
      <w:r>
        <w:rPr>
          <w:rFonts w:hint="eastAsia" w:ascii="宋体" w:hAnsi="宋体" w:cs="宋体"/>
          <w:szCs w:val="21"/>
          <w:highlight w:val="none"/>
          <w:lang w:val="en-US" w:eastAsia="zh-CN"/>
        </w:rPr>
        <w:t>有效的</w:t>
      </w:r>
      <w:r>
        <w:rPr>
          <w:rFonts w:hint="eastAsia" w:ascii="宋体" w:hAnsi="宋体" w:eastAsia="宋体" w:cs="宋体"/>
          <w:szCs w:val="21"/>
          <w:highlight w:val="none"/>
          <w:lang w:eastAsia="zh-CN"/>
        </w:rPr>
        <w:t>《食品经营许可证》</w:t>
      </w:r>
      <w:r>
        <w:rPr>
          <w:rFonts w:hint="eastAsia" w:ascii="宋体" w:hAnsi="宋体" w:eastAsia="宋体" w:cs="宋体"/>
          <w:szCs w:val="21"/>
          <w:highlight w:val="none"/>
        </w:rPr>
        <w:t>。</w:t>
      </w:r>
    </w:p>
    <w:p>
      <w:pPr>
        <w:snapToGrid w:val="0"/>
        <w:spacing w:line="312"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七、获取磋商文件方式</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1.发售时间：202</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年</w:t>
      </w:r>
      <w:r>
        <w:rPr>
          <w:rFonts w:hint="eastAsia" w:ascii="宋体" w:hAnsi="宋体" w:cs="宋体"/>
          <w:color w:val="auto"/>
          <w:spacing w:val="-1"/>
          <w:szCs w:val="21"/>
          <w:highlight w:val="none"/>
          <w:lang w:val="en-US" w:eastAsia="zh-CN"/>
        </w:rPr>
        <w:t>8</w:t>
      </w:r>
      <w:r>
        <w:rPr>
          <w:rFonts w:hint="eastAsia" w:ascii="宋体" w:hAnsi="宋体" w:cs="宋体"/>
          <w:color w:val="auto"/>
          <w:spacing w:val="-1"/>
          <w:szCs w:val="21"/>
          <w:highlight w:val="none"/>
        </w:rPr>
        <w:t>月</w:t>
      </w:r>
      <w:r>
        <w:rPr>
          <w:rFonts w:hint="eastAsia" w:ascii="宋体" w:hAnsi="宋体" w:cs="宋体"/>
          <w:color w:val="auto"/>
          <w:spacing w:val="-1"/>
          <w:szCs w:val="21"/>
          <w:highlight w:val="none"/>
          <w:lang w:val="en-US" w:eastAsia="zh-CN"/>
        </w:rPr>
        <w:t>4</w:t>
      </w:r>
      <w:r>
        <w:rPr>
          <w:rFonts w:hint="eastAsia" w:ascii="宋体" w:hAnsi="宋体" w:cs="宋体"/>
          <w:color w:val="auto"/>
          <w:spacing w:val="-1"/>
          <w:szCs w:val="21"/>
          <w:highlight w:val="none"/>
        </w:rPr>
        <w:t>日至202</w:t>
      </w:r>
      <w:r>
        <w:rPr>
          <w:rFonts w:hint="eastAsia" w:ascii="宋体" w:hAnsi="宋体" w:cs="宋体"/>
          <w:color w:val="auto"/>
          <w:spacing w:val="-1"/>
          <w:szCs w:val="21"/>
          <w:highlight w:val="none"/>
          <w:lang w:val="en-US" w:eastAsia="zh-CN"/>
        </w:rPr>
        <w:t>2</w:t>
      </w:r>
      <w:r>
        <w:rPr>
          <w:rFonts w:hint="eastAsia" w:ascii="宋体" w:hAnsi="宋体" w:cs="宋体"/>
          <w:color w:val="auto"/>
          <w:spacing w:val="-1"/>
          <w:szCs w:val="21"/>
          <w:highlight w:val="none"/>
        </w:rPr>
        <w:t>年</w:t>
      </w:r>
      <w:r>
        <w:rPr>
          <w:rFonts w:hint="eastAsia" w:ascii="宋体" w:hAnsi="宋体" w:cs="宋体"/>
          <w:color w:val="auto"/>
          <w:spacing w:val="-1"/>
          <w:szCs w:val="21"/>
          <w:highlight w:val="none"/>
          <w:lang w:val="en-US" w:eastAsia="zh-CN"/>
        </w:rPr>
        <w:t>8</w:t>
      </w:r>
      <w:r>
        <w:rPr>
          <w:rFonts w:hint="eastAsia" w:ascii="宋体" w:hAnsi="宋体" w:cs="宋体"/>
          <w:color w:val="auto"/>
          <w:spacing w:val="-1"/>
          <w:szCs w:val="21"/>
          <w:highlight w:val="none"/>
        </w:rPr>
        <w:t>月</w:t>
      </w:r>
      <w:r>
        <w:rPr>
          <w:rFonts w:hint="eastAsia" w:ascii="宋体" w:hAnsi="宋体" w:cs="宋体"/>
          <w:color w:val="auto"/>
          <w:spacing w:val="-1"/>
          <w:szCs w:val="21"/>
          <w:highlight w:val="none"/>
          <w:lang w:val="en-US" w:eastAsia="zh-CN"/>
        </w:rPr>
        <w:t>10</w:t>
      </w:r>
      <w:r>
        <w:rPr>
          <w:rFonts w:hint="eastAsia" w:ascii="宋体" w:hAnsi="宋体" w:cs="宋体"/>
          <w:color w:val="auto"/>
          <w:spacing w:val="-1"/>
          <w:szCs w:val="21"/>
          <w:highlight w:val="none"/>
        </w:rPr>
        <w:t>日（上午9:00-11:30，下午14:00至17:00，节假日除外）</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2.发售地点：衢州市西区花园中大道91号鑫港大厦709室。</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3.售价：人民币</w:t>
      </w:r>
      <w:r>
        <w:rPr>
          <w:rFonts w:hint="eastAsia" w:ascii="宋体" w:hAnsi="宋体" w:cs="宋体"/>
          <w:color w:val="auto"/>
          <w:szCs w:val="21"/>
          <w:highlight w:val="none"/>
          <w:lang w:val="en-US" w:eastAsia="zh-CN"/>
        </w:rPr>
        <w:t>300</w:t>
      </w:r>
      <w:r>
        <w:rPr>
          <w:rFonts w:hint="eastAsia" w:ascii="宋体" w:hAnsi="宋体" w:cs="宋体"/>
          <w:color w:val="auto"/>
          <w:szCs w:val="21"/>
          <w:highlight w:val="none"/>
        </w:rPr>
        <w:t>元，售后不退。</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4.购买磋商文件需要提供的资料：提供投标人的三证（五证）合一的营业执照（或事业单位法人证书）（如未合一的供应商提供营业执照、组织机构代码证、税务登记证）复印件；</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食品经营许可证</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复印件；</w:t>
      </w:r>
      <w:r>
        <w:rPr>
          <w:rFonts w:hint="eastAsia" w:ascii="宋体" w:hAnsi="宋体" w:cs="宋体"/>
          <w:color w:val="auto"/>
          <w:szCs w:val="21"/>
          <w:highlight w:val="none"/>
        </w:rPr>
        <w:t>法定代表人或授权代表人授权委托书及本人身份证复印件；投标单位名称、地址、联系电话、传真号码、电子邮箱。</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以上所有要求的证件和资料，应提供复印件并加盖公章、注明日期。</w:t>
      </w:r>
    </w:p>
    <w:p>
      <w:pPr>
        <w:snapToGrid w:val="0"/>
        <w:spacing w:line="312" w:lineRule="auto"/>
        <w:ind w:firstLine="420" w:firstLineChars="200"/>
        <w:rPr>
          <w:rFonts w:hint="eastAsia" w:ascii="宋体" w:hAnsi="宋体" w:cs="宋体"/>
          <w:b/>
          <w:color w:val="auto"/>
          <w:szCs w:val="21"/>
          <w:highlight w:val="none"/>
        </w:rPr>
      </w:pPr>
      <w:r>
        <w:rPr>
          <w:rFonts w:hint="eastAsia" w:ascii="宋体" w:hAnsi="宋体" w:cs="宋体"/>
          <w:color w:val="auto"/>
          <w:szCs w:val="21"/>
          <w:highlight w:val="none"/>
        </w:rPr>
        <w:t>磋商文件发售截止时间后至投标截止时间前允许潜在投标人前来购买磋商文件，但该供应商如对采购文件有异议应按采购文件规定的时间提出，逾期提出的，不予受理、答复。</w:t>
      </w:r>
      <w:bookmarkStart w:id="10" w:name="_Toc438220250"/>
    </w:p>
    <w:bookmarkEnd w:id="10"/>
    <w:p>
      <w:pPr>
        <w:snapToGrid w:val="0"/>
        <w:spacing w:line="312" w:lineRule="auto"/>
        <w:ind w:firstLine="422" w:firstLineChars="200"/>
        <w:rPr>
          <w:rFonts w:hint="eastAsia" w:ascii="宋体" w:hAnsi="宋体" w:cs="宋体"/>
          <w:color w:val="auto"/>
          <w:szCs w:val="21"/>
          <w:highlight w:val="none"/>
        </w:rPr>
      </w:pPr>
      <w:r>
        <w:rPr>
          <w:rFonts w:hint="eastAsia" w:ascii="宋体" w:hAnsi="宋体" w:cs="宋体"/>
          <w:b/>
          <w:bCs/>
          <w:color w:val="auto"/>
          <w:szCs w:val="21"/>
          <w:highlight w:val="none"/>
        </w:rPr>
        <w:t>八、磋商响应文件递交截止时间：</w:t>
      </w:r>
      <w:r>
        <w:rPr>
          <w:rFonts w:hint="eastAsia" w:ascii="宋体" w:hAnsi="宋体" w:cs="宋体"/>
          <w:color w:val="auto"/>
          <w:szCs w:val="21"/>
          <w:highlight w:val="none"/>
          <w:lang w:eastAsia="zh-CN"/>
        </w:rPr>
        <w:t>2022年</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16</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14</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0:00（北京时间）</w:t>
      </w:r>
    </w:p>
    <w:p>
      <w:pPr>
        <w:snapToGrid w:val="0"/>
        <w:spacing w:line="312" w:lineRule="auto"/>
        <w:ind w:firstLine="422" w:firstLineChars="200"/>
        <w:rPr>
          <w:rFonts w:hint="eastAsia" w:ascii="宋体" w:hAnsi="宋体" w:cs="宋体"/>
          <w:color w:val="auto"/>
          <w:szCs w:val="21"/>
          <w:highlight w:val="none"/>
        </w:rPr>
      </w:pPr>
      <w:r>
        <w:rPr>
          <w:rFonts w:hint="eastAsia" w:ascii="宋体" w:hAnsi="宋体" w:cs="宋体"/>
          <w:b/>
          <w:bCs/>
          <w:color w:val="auto"/>
          <w:szCs w:val="21"/>
          <w:highlight w:val="none"/>
          <w:lang w:val="en-US" w:eastAsia="zh-CN"/>
        </w:rPr>
        <w:t>九</w:t>
      </w:r>
      <w:r>
        <w:rPr>
          <w:rFonts w:hint="eastAsia" w:ascii="宋体" w:hAnsi="宋体" w:cs="宋体"/>
          <w:b/>
          <w:bCs/>
          <w:color w:val="auto"/>
          <w:szCs w:val="21"/>
          <w:highlight w:val="none"/>
        </w:rPr>
        <w:t>、开标时间和地点：</w:t>
      </w:r>
      <w:r>
        <w:rPr>
          <w:rFonts w:hint="eastAsia" w:ascii="宋体" w:hAnsi="宋体" w:cs="宋体"/>
          <w:color w:val="auto"/>
          <w:szCs w:val="21"/>
          <w:highlight w:val="none"/>
          <w:lang w:eastAsia="zh-CN"/>
        </w:rPr>
        <w:t>2022年</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16</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14</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0:00（北京时间）</w:t>
      </w:r>
      <w:r>
        <w:rPr>
          <w:rFonts w:hint="eastAsia" w:ascii="宋体" w:hAnsi="宋体" w:cs="宋体"/>
          <w:color w:val="auto"/>
          <w:szCs w:val="21"/>
          <w:highlight w:val="none"/>
          <w:lang w:eastAsia="zh-CN"/>
        </w:rPr>
        <w:t>，</w:t>
      </w:r>
      <w:r>
        <w:rPr>
          <w:rFonts w:hint="eastAsia" w:ascii="宋体" w:hAnsi="宋体" w:cs="宋体"/>
          <w:color w:val="auto"/>
          <w:szCs w:val="21"/>
          <w:highlight w:val="none"/>
        </w:rPr>
        <w:t xml:space="preserve">衢州市第三医院门诊楼103室（衢州市柯城区白云北大道226号）。 </w:t>
      </w:r>
    </w:p>
    <w:p>
      <w:pPr>
        <w:spacing w:line="312" w:lineRule="auto"/>
        <w:ind w:firstLine="421"/>
        <w:rPr>
          <w:rFonts w:hint="default" w:ascii="宋体" w:hAnsi="宋体" w:eastAsia="宋体" w:cs="宋体"/>
          <w:b/>
          <w:bCs/>
          <w:color w:val="auto"/>
          <w:szCs w:val="21"/>
          <w:highlight w:val="none"/>
          <w:lang w:val="en-US" w:eastAsia="zh-CN"/>
        </w:rPr>
      </w:pPr>
      <w:r>
        <w:rPr>
          <w:rFonts w:hint="eastAsia" w:ascii="宋体" w:hAnsi="宋体" w:cs="宋体"/>
          <w:b/>
          <w:bCs/>
          <w:color w:val="auto"/>
          <w:szCs w:val="21"/>
          <w:highlight w:val="none"/>
        </w:rPr>
        <w:t>十、</w:t>
      </w:r>
      <w:r>
        <w:rPr>
          <w:rFonts w:hint="eastAsia" w:ascii="宋体" w:hAnsi="宋体" w:cs="宋体"/>
          <w:b/>
          <w:bCs/>
          <w:color w:val="auto"/>
          <w:szCs w:val="21"/>
          <w:highlight w:val="none"/>
          <w:lang w:val="en-US" w:eastAsia="zh-CN"/>
        </w:rPr>
        <w:t>投标文件的送达</w:t>
      </w:r>
    </w:p>
    <w:p>
      <w:pPr>
        <w:keepNext w:val="0"/>
        <w:keepLines w:val="0"/>
        <w:pageBreakBefore w:val="0"/>
        <w:widowControl/>
        <w:shd w:val="clear" w:color="auto" w:fill="FFFFFF"/>
        <w:kinsoku/>
        <w:wordWrap/>
        <w:overflowPunct/>
        <w:topLinePunct w:val="0"/>
        <w:bidi w:val="0"/>
        <w:spacing w:line="312" w:lineRule="auto"/>
        <w:ind w:firstLine="420"/>
        <w:textAlignment w:val="auto"/>
        <w:rPr>
          <w:rFonts w:hint="eastAsia" w:ascii="宋体" w:hAnsi="宋体" w:eastAsia="宋体" w:cs="宋体"/>
          <w:b/>
          <w:bCs/>
          <w:color w:val="auto"/>
          <w:kern w:val="0"/>
          <w:szCs w:val="21"/>
          <w:highlight w:val="none"/>
        </w:rPr>
      </w:pPr>
      <w:r>
        <w:rPr>
          <w:rFonts w:hint="eastAsia" w:ascii="宋体" w:hAnsi="宋体" w:eastAsia="宋体" w:cs="宋体"/>
          <w:highlight w:val="none"/>
        </w:rPr>
        <w:t>1.投标人应委托1名投标代表携带本人身份证（委托代理人还须持法定代表人授权委托书）递交投标文件。</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b/>
          <w:bCs/>
          <w:color w:val="auto"/>
          <w:kern w:val="0"/>
          <w:szCs w:val="21"/>
          <w:highlight w:val="none"/>
        </w:rPr>
      </w:pPr>
      <w:r>
        <w:rPr>
          <w:rFonts w:hint="eastAsia" w:ascii="宋体" w:hAnsi="宋体" w:eastAsia="宋体" w:cs="宋体"/>
          <w:highlight w:val="none"/>
        </w:rPr>
        <w:t>2.投标代表应身体健康、体温正常，全程佩戴口罩，自觉接受手部卫生消毒、体温检测、出示衢州健康码等防疫检测事宜，通过防疫检测后方可入场，同时提供</w:t>
      </w:r>
      <w:r>
        <w:rPr>
          <w:rFonts w:hint="eastAsia" w:ascii="宋体" w:hAnsi="宋体" w:cs="宋体"/>
          <w:highlight w:val="none"/>
          <w:lang w:val="en-US" w:eastAsia="zh-CN"/>
        </w:rPr>
        <w:t>48</w:t>
      </w:r>
      <w:r>
        <w:rPr>
          <w:rFonts w:hint="eastAsia" w:ascii="宋体" w:hAnsi="宋体" w:eastAsia="宋体" w:cs="宋体"/>
          <w:highlight w:val="none"/>
        </w:rPr>
        <w:t>小时内的核酸检测报告。出现发热（体温超过37.2°C）、咳嗽等新型冠状病毒感染可疑症状或健康码显示为“红码”、“黄码”的，其投标将被拒绝，并劝导其立即前往医院就医。</w:t>
      </w:r>
    </w:p>
    <w:p>
      <w:pPr>
        <w:snapToGrid w:val="0"/>
        <w:spacing w:line="312"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十</w:t>
      </w:r>
      <w:r>
        <w:rPr>
          <w:rFonts w:hint="eastAsia" w:ascii="宋体" w:hAnsi="宋体" w:cs="宋体"/>
          <w:b/>
          <w:bCs/>
          <w:color w:val="auto"/>
          <w:szCs w:val="21"/>
          <w:highlight w:val="none"/>
          <w:lang w:val="en-US" w:eastAsia="zh-CN"/>
        </w:rPr>
        <w:t>一</w:t>
      </w:r>
      <w:r>
        <w:rPr>
          <w:rFonts w:hint="eastAsia" w:ascii="宋体" w:hAnsi="宋体" w:cs="宋体"/>
          <w:b/>
          <w:bCs/>
          <w:color w:val="auto"/>
          <w:szCs w:val="21"/>
          <w:highlight w:val="none"/>
        </w:rPr>
        <w:t>、发布公告的媒介</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衢州市第三医院外网（www.qzsdsyy.com）</w:t>
      </w:r>
    </w:p>
    <w:p>
      <w:pPr>
        <w:keepNext w:val="0"/>
        <w:keepLines w:val="0"/>
        <w:pageBreakBefore w:val="0"/>
        <w:kinsoku/>
        <w:overflowPunct/>
        <w:topLinePunct w:val="0"/>
        <w:bidi w:val="0"/>
        <w:snapToGrid w:val="0"/>
        <w:spacing w:line="312" w:lineRule="auto"/>
        <w:ind w:firstLine="422" w:firstLineChars="200"/>
        <w:textAlignment w:val="auto"/>
        <w:rPr>
          <w:rFonts w:hint="eastAsia" w:ascii="宋体" w:hAnsi="宋体" w:eastAsia="宋体" w:cs="宋体"/>
          <w:szCs w:val="21"/>
          <w:highlight w:val="none"/>
        </w:rPr>
      </w:pPr>
      <w:r>
        <w:rPr>
          <w:rFonts w:hint="eastAsia" w:ascii="宋体" w:hAnsi="宋体" w:eastAsia="宋体" w:cs="宋体"/>
          <w:b/>
          <w:bCs w:val="0"/>
          <w:szCs w:val="21"/>
          <w:highlight w:val="none"/>
          <w:lang w:val="en-US" w:eastAsia="zh-CN"/>
        </w:rPr>
        <w:t>十二、</w:t>
      </w:r>
      <w:r>
        <w:rPr>
          <w:rFonts w:hint="eastAsia" w:ascii="宋体" w:hAnsi="宋体" w:eastAsia="宋体" w:cs="宋体"/>
          <w:b/>
          <w:bCs w:val="0"/>
          <w:szCs w:val="21"/>
          <w:highlight w:val="none"/>
        </w:rPr>
        <w:t>其他事项</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bCs/>
          <w:szCs w:val="21"/>
          <w:highlight w:val="none"/>
        </w:rPr>
      </w:pPr>
      <w:r>
        <w:rPr>
          <w:rFonts w:hint="eastAsia" w:ascii="宋体" w:hAnsi="宋体" w:eastAsia="宋体" w:cs="宋体"/>
          <w:szCs w:val="21"/>
          <w:highlight w:val="none"/>
        </w:rPr>
        <w:t>质疑和投诉：投标人如认为招标文件、采购过程和中标结果使自身的合法权益受到损害的，可以在知道或者应知其权益受到损害之日起七个工作日内，以书面形式向采购代理机构提出质疑；投标人对采购代理机构的质疑答复不满意或者采购代理机构未在规定时间内作出答复的，可以在答复</w:t>
      </w:r>
      <w:r>
        <w:rPr>
          <w:rFonts w:hint="eastAsia" w:ascii="宋体" w:hAnsi="宋体" w:eastAsia="宋体" w:cs="宋体"/>
          <w:bCs/>
          <w:szCs w:val="21"/>
          <w:highlight w:val="none"/>
        </w:rPr>
        <w:t>期满后十五个工作日内向</w:t>
      </w:r>
      <w:r>
        <w:rPr>
          <w:rFonts w:hint="eastAsia" w:ascii="宋体" w:hAnsi="宋体" w:cs="宋体"/>
          <w:bCs/>
          <w:szCs w:val="21"/>
          <w:highlight w:val="none"/>
          <w:lang w:val="en-US" w:eastAsia="zh-CN"/>
        </w:rPr>
        <w:t>衢州市第三医院纪委（</w:t>
      </w:r>
      <w:r>
        <w:rPr>
          <w:rFonts w:hint="eastAsia" w:ascii="宋体" w:hAnsi="宋体" w:cs="宋体"/>
          <w:bCs/>
          <w:color w:val="auto"/>
          <w:sz w:val="22"/>
          <w:szCs w:val="22"/>
          <w:highlight w:val="none"/>
          <w:lang w:val="en-US" w:eastAsia="zh-CN"/>
        </w:rPr>
        <w:t>联系</w:t>
      </w:r>
      <w:r>
        <w:rPr>
          <w:rFonts w:hint="eastAsia" w:ascii="宋体" w:hAnsi="宋体" w:eastAsia="宋体" w:cs="宋体"/>
          <w:bCs/>
          <w:color w:val="auto"/>
          <w:sz w:val="22"/>
          <w:szCs w:val="22"/>
          <w:highlight w:val="none"/>
          <w:lang w:val="en-US" w:eastAsia="zh-CN"/>
        </w:rPr>
        <w:t>人：徐女士，联系电话：0570-3011928</w:t>
      </w:r>
      <w:r>
        <w:rPr>
          <w:rFonts w:hint="eastAsia" w:ascii="宋体" w:hAnsi="宋体" w:cs="宋体"/>
          <w:bCs/>
          <w:color w:val="auto"/>
          <w:sz w:val="22"/>
          <w:szCs w:val="22"/>
          <w:highlight w:val="none"/>
          <w:lang w:val="en-US" w:eastAsia="zh-CN"/>
        </w:rPr>
        <w:t>）</w:t>
      </w:r>
      <w:r>
        <w:rPr>
          <w:rFonts w:hint="eastAsia" w:ascii="宋体" w:hAnsi="宋体" w:eastAsia="宋体" w:cs="宋体"/>
          <w:bCs/>
          <w:szCs w:val="21"/>
          <w:highlight w:val="none"/>
        </w:rPr>
        <w:t>投诉。</w:t>
      </w:r>
    </w:p>
    <w:p>
      <w:pPr>
        <w:keepNext w:val="0"/>
        <w:keepLines w:val="0"/>
        <w:pageBreakBefore w:val="0"/>
        <w:kinsoku/>
        <w:overflowPunct/>
        <w:topLinePunct w:val="0"/>
        <w:bidi w:val="0"/>
        <w:snapToGrid w:val="0"/>
        <w:spacing w:line="312" w:lineRule="auto"/>
        <w:ind w:firstLine="422" w:firstLineChars="200"/>
        <w:textAlignment w:val="auto"/>
        <w:rPr>
          <w:rFonts w:hint="eastAsia" w:ascii="宋体" w:hAnsi="宋体" w:eastAsia="宋体" w:cs="宋体"/>
          <w:b/>
          <w:bCs w:val="0"/>
          <w:szCs w:val="21"/>
          <w:highlight w:val="none"/>
        </w:rPr>
      </w:pPr>
      <w:r>
        <w:rPr>
          <w:rFonts w:hint="eastAsia" w:ascii="宋体" w:hAnsi="宋体" w:eastAsia="宋体" w:cs="宋体"/>
          <w:b/>
          <w:bCs w:val="0"/>
          <w:szCs w:val="21"/>
          <w:highlight w:val="none"/>
        </w:rPr>
        <w:t>十</w:t>
      </w:r>
      <w:r>
        <w:rPr>
          <w:rFonts w:hint="eastAsia" w:ascii="宋体" w:hAnsi="宋体" w:eastAsia="宋体" w:cs="宋体"/>
          <w:b/>
          <w:bCs w:val="0"/>
          <w:szCs w:val="21"/>
          <w:highlight w:val="none"/>
          <w:lang w:val="en-US" w:eastAsia="zh-CN"/>
        </w:rPr>
        <w:t>三</w:t>
      </w:r>
      <w:r>
        <w:rPr>
          <w:rFonts w:hint="eastAsia" w:ascii="宋体" w:hAnsi="宋体" w:eastAsia="宋体" w:cs="宋体"/>
          <w:b/>
          <w:bCs w:val="0"/>
          <w:szCs w:val="21"/>
          <w:highlight w:val="none"/>
        </w:rPr>
        <w:t>、联系方式</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采 购 人：衢州市第三医院</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联 系 人：</w:t>
      </w:r>
      <w:r>
        <w:rPr>
          <w:rFonts w:hint="eastAsia" w:ascii="宋体" w:hAnsi="宋体" w:cs="宋体"/>
          <w:szCs w:val="21"/>
          <w:highlight w:val="none"/>
          <w:lang w:val="en-US" w:eastAsia="zh-CN"/>
        </w:rPr>
        <w:t>杨女士</w:t>
      </w:r>
      <w:r>
        <w:rPr>
          <w:rFonts w:hint="eastAsia" w:ascii="宋体" w:hAnsi="宋体" w:eastAsia="宋体" w:cs="宋体"/>
          <w:szCs w:val="21"/>
          <w:highlight w:val="none"/>
        </w:rPr>
        <w:t xml:space="preserve">      联系电话：0570-3011552</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代理机构：浙江省成套工程有限公司</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000000"/>
          <w:szCs w:val="21"/>
          <w:highlight w:val="none"/>
          <w:lang w:eastAsia="zh-CN"/>
        </w:rPr>
      </w:pPr>
      <w:r>
        <w:rPr>
          <w:rFonts w:hint="eastAsia" w:ascii="宋体" w:hAnsi="宋体" w:eastAsia="宋体" w:cs="宋体"/>
          <w:highlight w:val="none"/>
        </w:rPr>
        <w:t>项目联系人：吴先生      联系电话：0570-8757587/18367054001</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报名联系人：傅文娟</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联系电话：0570-8757596  传真：0570-8757585</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联系邮箱：3276750550@qq.com</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地点：衢州市西区花园中大道91号鑫港大厦709室</w:t>
      </w:r>
    </w:p>
    <w:p>
      <w:pPr>
        <w:snapToGrid w:val="0"/>
        <w:spacing w:line="312" w:lineRule="auto"/>
        <w:ind w:firstLine="420" w:firstLineChars="200"/>
        <w:rPr>
          <w:rFonts w:hint="eastAsia" w:ascii="宋体" w:hAnsi="宋体" w:cs="宋体"/>
          <w:color w:val="auto"/>
          <w:szCs w:val="21"/>
          <w:highlight w:val="none"/>
        </w:rPr>
      </w:pPr>
    </w:p>
    <w:p>
      <w:pPr>
        <w:tabs>
          <w:tab w:val="left" w:pos="0"/>
        </w:tabs>
        <w:autoSpaceDE w:val="0"/>
        <w:autoSpaceDN w:val="0"/>
        <w:adjustRightInd w:val="0"/>
        <w:snapToGrid w:val="0"/>
        <w:spacing w:line="312" w:lineRule="auto"/>
        <w:ind w:firstLine="840" w:firstLineChars="400"/>
        <w:rPr>
          <w:rFonts w:hint="eastAsia" w:ascii="宋体" w:hAnsi="宋体" w:cs="宋体"/>
          <w:color w:val="auto"/>
          <w:szCs w:val="21"/>
          <w:highlight w:val="none"/>
        </w:rPr>
      </w:pPr>
    </w:p>
    <w:p>
      <w:pPr>
        <w:tabs>
          <w:tab w:val="left" w:pos="0"/>
        </w:tabs>
        <w:autoSpaceDE w:val="0"/>
        <w:autoSpaceDN w:val="0"/>
        <w:adjustRightInd w:val="0"/>
        <w:snapToGrid w:val="0"/>
        <w:spacing w:line="312" w:lineRule="auto"/>
        <w:ind w:firstLine="420" w:firstLineChars="200"/>
        <w:rPr>
          <w:rFonts w:hint="eastAsia" w:ascii="宋体" w:hAnsi="宋体" w:cs="宋体"/>
          <w:color w:val="auto"/>
          <w:szCs w:val="21"/>
          <w:highlight w:val="none"/>
        </w:rPr>
      </w:pPr>
    </w:p>
    <w:p>
      <w:pPr>
        <w:snapToGrid w:val="0"/>
        <w:spacing w:line="312" w:lineRule="auto"/>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 xml:space="preserve">                                                          衢州市第三医院</w:t>
      </w:r>
    </w:p>
    <w:p>
      <w:pPr>
        <w:snapToGrid w:val="0"/>
        <w:spacing w:line="312" w:lineRule="auto"/>
        <w:ind w:firstLine="6405" w:firstLineChars="3050"/>
        <w:rPr>
          <w:rFonts w:hint="eastAsia" w:ascii="宋体" w:hAnsi="宋体" w:cs="宋体"/>
          <w:color w:val="auto"/>
          <w:szCs w:val="21"/>
          <w:highlight w:val="none"/>
        </w:rPr>
      </w:pPr>
      <w:r>
        <w:rPr>
          <w:rFonts w:hint="eastAsia" w:ascii="宋体" w:hAnsi="宋体" w:cs="宋体"/>
          <w:color w:val="auto"/>
          <w:szCs w:val="21"/>
          <w:highlight w:val="none"/>
        </w:rPr>
        <w:t>浙江省成套工程有限公司</w:t>
      </w:r>
    </w:p>
    <w:p>
      <w:pPr>
        <w:snapToGrid w:val="0"/>
        <w:spacing w:line="312" w:lineRule="auto"/>
        <w:ind w:firstLine="6615" w:firstLineChars="3150"/>
        <w:rPr>
          <w:rFonts w:hint="eastAsia" w:ascii="宋体" w:hAnsi="宋体" w:cs="宋体"/>
          <w:color w:val="auto"/>
          <w:szCs w:val="21"/>
          <w:highlight w:val="none"/>
        </w:rPr>
      </w:pPr>
      <w:r>
        <w:rPr>
          <w:rFonts w:hint="eastAsia" w:ascii="宋体" w:hAnsi="宋体" w:cs="宋体"/>
          <w:color w:val="auto"/>
          <w:szCs w:val="21"/>
          <w:highlight w:val="none"/>
          <w:lang w:eastAsia="zh-CN"/>
        </w:rPr>
        <w:t>2022年</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日</w:t>
      </w:r>
    </w:p>
    <w:p>
      <w:pPr>
        <w:spacing w:line="312" w:lineRule="auto"/>
        <w:rPr>
          <w:rFonts w:hint="eastAsia" w:ascii="宋体" w:hAnsi="宋体" w:cs="宋体"/>
          <w:color w:val="auto"/>
          <w:szCs w:val="21"/>
          <w:highlight w:val="none"/>
        </w:rPr>
      </w:pPr>
    </w:p>
    <w:p>
      <w:pPr>
        <w:snapToGrid w:val="0"/>
        <w:spacing w:before="120" w:beforeLines="50" w:after="120" w:afterLines="50" w:line="312" w:lineRule="auto"/>
        <w:jc w:val="center"/>
        <w:outlineLvl w:val="0"/>
        <w:rPr>
          <w:rFonts w:hint="eastAsia" w:ascii="宋体" w:hAnsi="宋体" w:cs="宋体"/>
          <w:b/>
          <w:color w:val="auto"/>
          <w:szCs w:val="21"/>
          <w:highlight w:val="none"/>
        </w:rPr>
        <w:sectPr>
          <w:footerReference r:id="rId8" w:type="default"/>
          <w:pgSz w:w="11906" w:h="16838"/>
          <w:pgMar w:top="1389" w:right="1134" w:bottom="1304" w:left="1304" w:header="851" w:footer="992" w:gutter="284"/>
          <w:pgBorders>
            <w:top w:val="none" w:sz="0" w:space="0"/>
            <w:left w:val="none" w:sz="0" w:space="0"/>
            <w:bottom w:val="none" w:sz="0" w:space="0"/>
            <w:right w:val="none" w:sz="0" w:space="0"/>
          </w:pgBorders>
          <w:pgNumType w:start="1"/>
          <w:cols w:space="720" w:num="1"/>
          <w:docGrid w:linePitch="312" w:charSpace="0"/>
        </w:sectPr>
      </w:pPr>
    </w:p>
    <w:p>
      <w:pPr>
        <w:spacing w:line="312" w:lineRule="auto"/>
        <w:jc w:val="center"/>
        <w:outlineLvl w:val="0"/>
        <w:rPr>
          <w:rFonts w:hint="eastAsia" w:ascii="宋体" w:hAnsi="宋体" w:cs="宋体"/>
          <w:b/>
          <w:color w:val="auto"/>
          <w:szCs w:val="21"/>
          <w:highlight w:val="none"/>
        </w:rPr>
      </w:pPr>
      <w:bookmarkStart w:id="11" w:name="_Toc391380568"/>
      <w:bookmarkStart w:id="12" w:name="_Toc19786"/>
      <w:r>
        <w:rPr>
          <w:rFonts w:hint="eastAsia" w:ascii="宋体" w:hAnsi="宋体" w:cs="宋体"/>
          <w:b/>
          <w:color w:val="auto"/>
          <w:szCs w:val="21"/>
          <w:highlight w:val="none"/>
        </w:rPr>
        <w:t>第二章  投标</w:t>
      </w:r>
      <w:bookmarkEnd w:id="7"/>
      <w:bookmarkEnd w:id="8"/>
      <w:r>
        <w:rPr>
          <w:rFonts w:hint="eastAsia" w:ascii="宋体" w:hAnsi="宋体" w:cs="宋体"/>
          <w:b/>
          <w:color w:val="auto"/>
          <w:szCs w:val="21"/>
          <w:highlight w:val="none"/>
        </w:rPr>
        <w:t>须知前附表及投标须知</w:t>
      </w:r>
      <w:bookmarkEnd w:id="9"/>
      <w:bookmarkEnd w:id="11"/>
      <w:bookmarkEnd w:id="12"/>
    </w:p>
    <w:p>
      <w:pPr>
        <w:snapToGrid w:val="0"/>
        <w:spacing w:before="120" w:beforeLines="50" w:after="120" w:afterLines="50" w:line="312" w:lineRule="auto"/>
        <w:ind w:firstLine="422" w:firstLineChars="200"/>
        <w:outlineLvl w:val="1"/>
        <w:rPr>
          <w:rFonts w:hint="eastAsia" w:ascii="宋体" w:hAnsi="宋体" w:cs="宋体"/>
          <w:b/>
          <w:bCs w:val="0"/>
          <w:color w:val="auto"/>
          <w:szCs w:val="21"/>
          <w:highlight w:val="none"/>
        </w:rPr>
      </w:pPr>
      <w:bookmarkStart w:id="13" w:name="_Toc391380569"/>
      <w:bookmarkStart w:id="14" w:name="_Toc387928019"/>
      <w:bookmarkStart w:id="15" w:name="_Toc29858"/>
      <w:bookmarkStart w:id="16" w:name="_Toc356371431"/>
      <w:r>
        <w:rPr>
          <w:rFonts w:hint="eastAsia" w:ascii="宋体" w:hAnsi="宋体" w:cs="宋体"/>
          <w:b/>
          <w:bCs w:val="0"/>
          <w:color w:val="auto"/>
          <w:szCs w:val="21"/>
          <w:highlight w:val="none"/>
        </w:rPr>
        <w:t>一、投标须知前附表</w:t>
      </w:r>
      <w:bookmarkEnd w:id="13"/>
      <w:bookmarkEnd w:id="14"/>
      <w:bookmarkEnd w:id="15"/>
      <w:bookmarkEnd w:id="16"/>
    </w:p>
    <w:tbl>
      <w:tblPr>
        <w:tblStyle w:val="61"/>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779"/>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序号</w:t>
            </w:r>
          </w:p>
        </w:tc>
        <w:tc>
          <w:tcPr>
            <w:tcW w:w="2779"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内  容</w:t>
            </w:r>
          </w:p>
        </w:tc>
        <w:tc>
          <w:tcPr>
            <w:tcW w:w="619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1</w:t>
            </w:r>
          </w:p>
        </w:tc>
        <w:tc>
          <w:tcPr>
            <w:tcW w:w="2779"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采购人</w:t>
            </w:r>
          </w:p>
        </w:tc>
        <w:tc>
          <w:tcPr>
            <w:tcW w:w="6195"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衢州市第三医院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2</w:t>
            </w:r>
          </w:p>
        </w:tc>
        <w:tc>
          <w:tcPr>
            <w:tcW w:w="2779"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项目名称</w:t>
            </w:r>
          </w:p>
        </w:tc>
        <w:tc>
          <w:tcPr>
            <w:tcW w:w="6195" w:type="dxa"/>
            <w:noWrap w:val="0"/>
            <w:vAlign w:val="center"/>
          </w:tcPr>
          <w:p>
            <w:pPr>
              <w:pStyle w:val="32"/>
              <w:snapToGrid w:val="0"/>
              <w:spacing w:line="312" w:lineRule="auto"/>
              <w:rPr>
                <w:rFonts w:hint="eastAsia" w:hAnsi="宋体" w:eastAsia="宋体" w:cs="宋体"/>
                <w:color w:val="auto"/>
                <w:szCs w:val="21"/>
                <w:highlight w:val="none"/>
                <w:lang w:eastAsia="zh-CN"/>
              </w:rPr>
            </w:pPr>
            <w:r>
              <w:rPr>
                <w:rFonts w:hint="eastAsia" w:hAnsi="宋体" w:cs="宋体"/>
                <w:color w:val="auto"/>
                <w:szCs w:val="21"/>
                <w:highlight w:val="none"/>
                <w:lang w:eastAsia="zh-CN"/>
              </w:rPr>
              <w:t>2022-2024年度食堂蔬菜（包括干货、豆制品、半成品食品）及水果配送采购项目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3</w:t>
            </w:r>
          </w:p>
        </w:tc>
        <w:tc>
          <w:tcPr>
            <w:tcW w:w="2779"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采购预算</w:t>
            </w:r>
          </w:p>
        </w:tc>
        <w:tc>
          <w:tcPr>
            <w:tcW w:w="6195" w:type="dxa"/>
            <w:noWrap w:val="0"/>
            <w:vAlign w:val="center"/>
          </w:tcPr>
          <w:p>
            <w:pPr>
              <w:pStyle w:val="32"/>
              <w:snapToGrid w:val="0"/>
              <w:spacing w:line="312" w:lineRule="auto"/>
              <w:rPr>
                <w:rFonts w:hint="default" w:hAnsi="宋体" w:eastAsia="宋体" w:cs="宋体"/>
                <w:color w:val="auto"/>
                <w:szCs w:val="21"/>
                <w:highlight w:val="none"/>
                <w:lang w:val="en-US" w:eastAsia="zh-CN"/>
              </w:rPr>
            </w:pPr>
            <w:r>
              <w:rPr>
                <w:rFonts w:hint="eastAsia" w:hAnsi="宋体" w:cs="宋体"/>
                <w:color w:val="auto"/>
                <w:szCs w:val="21"/>
                <w:highlight w:val="none"/>
                <w:lang w:val="en-US" w:eastAsia="zh-CN"/>
              </w:rPr>
              <w:t>194.00万元/年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4</w:t>
            </w:r>
          </w:p>
        </w:tc>
        <w:tc>
          <w:tcPr>
            <w:tcW w:w="2779"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投标有效期</w:t>
            </w:r>
          </w:p>
        </w:tc>
        <w:tc>
          <w:tcPr>
            <w:tcW w:w="6195"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磋商响应文件递交截止之日起90天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5</w:t>
            </w:r>
          </w:p>
        </w:tc>
        <w:tc>
          <w:tcPr>
            <w:tcW w:w="2779" w:type="dxa"/>
            <w:noWrap w:val="0"/>
            <w:vAlign w:val="center"/>
          </w:tcPr>
          <w:p>
            <w:pPr>
              <w:pStyle w:val="32"/>
              <w:snapToGrid w:val="0"/>
              <w:spacing w:line="312" w:lineRule="auto"/>
              <w:rPr>
                <w:rFonts w:hint="eastAsia" w:hAnsi="宋体" w:cs="宋体"/>
                <w:color w:val="auto"/>
                <w:spacing w:val="-20"/>
                <w:szCs w:val="21"/>
                <w:highlight w:val="none"/>
              </w:rPr>
            </w:pPr>
            <w:r>
              <w:rPr>
                <w:rFonts w:hint="eastAsia" w:hAnsi="宋体" w:cs="宋体"/>
                <w:color w:val="auto"/>
                <w:szCs w:val="21"/>
                <w:highlight w:val="none"/>
              </w:rPr>
              <w:t>磋商响应文件递交份数</w:t>
            </w:r>
          </w:p>
        </w:tc>
        <w:tc>
          <w:tcPr>
            <w:tcW w:w="6195"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【资信技术文件】、【报价文件】各一份正本，</w:t>
            </w:r>
            <w:r>
              <w:rPr>
                <w:rFonts w:hint="eastAsia" w:hAnsi="宋体" w:cs="宋体"/>
                <w:color w:val="auto"/>
                <w:szCs w:val="21"/>
                <w:highlight w:val="none"/>
                <w:lang w:val="en-US" w:eastAsia="zh-CN"/>
              </w:rPr>
              <w:t>二</w:t>
            </w:r>
            <w:r>
              <w:rPr>
                <w:rFonts w:hint="eastAsia" w:hAnsi="宋体" w:cs="宋体"/>
                <w:color w:val="auto"/>
                <w:szCs w:val="21"/>
                <w:highlight w:val="none"/>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6</w:t>
            </w:r>
          </w:p>
        </w:tc>
        <w:tc>
          <w:tcPr>
            <w:tcW w:w="2779" w:type="dxa"/>
            <w:noWrap w:val="0"/>
            <w:vAlign w:val="center"/>
          </w:tcPr>
          <w:p>
            <w:pPr>
              <w:pStyle w:val="32"/>
              <w:snapToGrid w:val="0"/>
              <w:spacing w:line="312" w:lineRule="auto"/>
              <w:rPr>
                <w:rFonts w:hint="eastAsia" w:hAnsi="宋体" w:cs="宋体"/>
                <w:color w:val="auto"/>
                <w:spacing w:val="-20"/>
                <w:szCs w:val="21"/>
                <w:highlight w:val="none"/>
              </w:rPr>
            </w:pPr>
            <w:r>
              <w:rPr>
                <w:rFonts w:hint="eastAsia" w:hAnsi="宋体" w:cs="宋体"/>
                <w:color w:val="auto"/>
                <w:szCs w:val="21"/>
                <w:highlight w:val="none"/>
              </w:rPr>
              <w:t>磋商响应文件递交截止时间</w:t>
            </w:r>
          </w:p>
        </w:tc>
        <w:tc>
          <w:tcPr>
            <w:tcW w:w="6195"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lang w:eastAsia="zh-CN"/>
              </w:rPr>
              <w:t>2022年</w:t>
            </w:r>
            <w:r>
              <w:rPr>
                <w:rFonts w:hint="eastAsia" w:hAnsi="宋体" w:cs="宋体"/>
                <w:color w:val="auto"/>
                <w:szCs w:val="21"/>
                <w:highlight w:val="none"/>
                <w:lang w:val="en-US" w:eastAsia="zh-CN"/>
              </w:rPr>
              <w:t>8</w:t>
            </w:r>
            <w:r>
              <w:rPr>
                <w:rFonts w:hint="eastAsia" w:hAnsi="宋体" w:cs="宋体"/>
                <w:color w:val="auto"/>
                <w:szCs w:val="21"/>
                <w:highlight w:val="none"/>
              </w:rPr>
              <w:t>月</w:t>
            </w:r>
            <w:r>
              <w:rPr>
                <w:rFonts w:hint="eastAsia" w:hAnsi="宋体" w:cs="宋体"/>
                <w:color w:val="auto"/>
                <w:szCs w:val="21"/>
                <w:highlight w:val="none"/>
                <w:lang w:val="en-US" w:eastAsia="zh-CN"/>
              </w:rPr>
              <w:t>16</w:t>
            </w:r>
            <w:r>
              <w:rPr>
                <w:rFonts w:hint="eastAsia" w:hAnsi="宋体" w:cs="宋体"/>
                <w:color w:val="auto"/>
                <w:szCs w:val="21"/>
                <w:highlight w:val="none"/>
              </w:rPr>
              <w:t>日</w:t>
            </w:r>
            <w:r>
              <w:rPr>
                <w:rFonts w:hint="eastAsia" w:hAnsi="宋体" w:cs="宋体"/>
                <w:color w:val="auto"/>
                <w:szCs w:val="21"/>
                <w:highlight w:val="none"/>
                <w:lang w:val="en-US" w:eastAsia="zh-CN"/>
              </w:rPr>
              <w:t>14</w:t>
            </w:r>
            <w:r>
              <w:rPr>
                <w:rFonts w:hint="eastAsia" w:hAnsi="宋体" w:cs="宋体"/>
                <w:color w:val="auto"/>
                <w:szCs w:val="21"/>
                <w:highlight w:val="none"/>
              </w:rPr>
              <w:t>:</w:t>
            </w:r>
            <w:r>
              <w:rPr>
                <w:rFonts w:hint="eastAsia" w:hAnsi="宋体" w:cs="宋体"/>
                <w:color w:val="auto"/>
                <w:szCs w:val="21"/>
                <w:highlight w:val="none"/>
                <w:lang w:val="en-US" w:eastAsia="zh-CN"/>
              </w:rPr>
              <w:t>3</w:t>
            </w:r>
            <w:r>
              <w:rPr>
                <w:rFonts w:hint="eastAsia" w:hAnsi="宋体" w:cs="宋体"/>
                <w:color w:val="auto"/>
                <w:szCs w:val="21"/>
                <w:highlight w:val="none"/>
              </w:rPr>
              <w:t>0:00（北京时间）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7</w:t>
            </w:r>
          </w:p>
        </w:tc>
        <w:tc>
          <w:tcPr>
            <w:tcW w:w="2779" w:type="dxa"/>
            <w:noWrap w:val="0"/>
            <w:vAlign w:val="center"/>
          </w:tcPr>
          <w:p>
            <w:pPr>
              <w:pStyle w:val="32"/>
              <w:snapToGrid w:val="0"/>
              <w:spacing w:line="312" w:lineRule="auto"/>
              <w:rPr>
                <w:rFonts w:hint="eastAsia" w:hAnsi="宋体" w:cs="宋体"/>
                <w:color w:val="auto"/>
                <w:spacing w:val="-20"/>
                <w:szCs w:val="21"/>
                <w:highlight w:val="none"/>
              </w:rPr>
            </w:pPr>
            <w:r>
              <w:rPr>
                <w:rFonts w:hint="eastAsia" w:hAnsi="宋体" w:cs="宋体"/>
                <w:color w:val="auto"/>
                <w:szCs w:val="21"/>
                <w:highlight w:val="none"/>
              </w:rPr>
              <w:t>开标地点</w:t>
            </w:r>
          </w:p>
        </w:tc>
        <w:tc>
          <w:tcPr>
            <w:tcW w:w="6195"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衢州市第三医院门诊楼103室（衢州市柯城区白云北大道226号）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8</w:t>
            </w:r>
          </w:p>
        </w:tc>
        <w:tc>
          <w:tcPr>
            <w:tcW w:w="2779"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开标时间</w:t>
            </w:r>
          </w:p>
        </w:tc>
        <w:tc>
          <w:tcPr>
            <w:tcW w:w="6195"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lang w:eastAsia="zh-CN"/>
              </w:rPr>
              <w:t>2022年</w:t>
            </w:r>
            <w:r>
              <w:rPr>
                <w:rFonts w:hint="eastAsia" w:hAnsi="宋体" w:cs="宋体"/>
                <w:color w:val="auto"/>
                <w:szCs w:val="21"/>
                <w:highlight w:val="none"/>
                <w:lang w:val="en-US" w:eastAsia="zh-CN"/>
              </w:rPr>
              <w:t>8</w:t>
            </w:r>
            <w:r>
              <w:rPr>
                <w:rFonts w:hint="eastAsia" w:hAnsi="宋体" w:cs="宋体"/>
                <w:color w:val="auto"/>
                <w:szCs w:val="21"/>
                <w:highlight w:val="none"/>
              </w:rPr>
              <w:t>月</w:t>
            </w:r>
            <w:r>
              <w:rPr>
                <w:rFonts w:hint="eastAsia" w:hAnsi="宋体" w:cs="宋体"/>
                <w:color w:val="auto"/>
                <w:szCs w:val="21"/>
                <w:highlight w:val="none"/>
                <w:lang w:val="en-US" w:eastAsia="zh-CN"/>
              </w:rPr>
              <w:t>16</w:t>
            </w:r>
            <w:r>
              <w:rPr>
                <w:rFonts w:hint="eastAsia" w:hAnsi="宋体" w:cs="宋体"/>
                <w:color w:val="auto"/>
                <w:szCs w:val="21"/>
                <w:highlight w:val="none"/>
              </w:rPr>
              <w:t>日</w:t>
            </w:r>
            <w:r>
              <w:rPr>
                <w:rFonts w:hint="eastAsia" w:hAnsi="宋体" w:cs="宋体"/>
                <w:color w:val="auto"/>
                <w:szCs w:val="21"/>
                <w:highlight w:val="none"/>
                <w:lang w:val="en-US" w:eastAsia="zh-CN"/>
              </w:rPr>
              <w:t>14</w:t>
            </w:r>
            <w:r>
              <w:rPr>
                <w:rFonts w:hint="eastAsia" w:hAnsi="宋体" w:cs="宋体"/>
                <w:color w:val="auto"/>
                <w:szCs w:val="21"/>
                <w:highlight w:val="none"/>
              </w:rPr>
              <w:t>:</w:t>
            </w:r>
            <w:r>
              <w:rPr>
                <w:rFonts w:hint="eastAsia" w:hAnsi="宋体" w:cs="宋体"/>
                <w:color w:val="auto"/>
                <w:szCs w:val="21"/>
                <w:highlight w:val="none"/>
                <w:lang w:val="en-US" w:eastAsia="zh-CN"/>
              </w:rPr>
              <w:t>3</w:t>
            </w:r>
            <w:r>
              <w:rPr>
                <w:rFonts w:hint="eastAsia" w:hAnsi="宋体" w:cs="宋体"/>
                <w:color w:val="auto"/>
                <w:szCs w:val="21"/>
                <w:highlight w:val="none"/>
              </w:rPr>
              <w:t>0:00（北京时间）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9</w:t>
            </w:r>
          </w:p>
        </w:tc>
        <w:tc>
          <w:tcPr>
            <w:tcW w:w="2779"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招标结果公示期限</w:t>
            </w:r>
          </w:p>
        </w:tc>
        <w:tc>
          <w:tcPr>
            <w:tcW w:w="6195"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10</w:t>
            </w:r>
          </w:p>
        </w:tc>
        <w:tc>
          <w:tcPr>
            <w:tcW w:w="2779"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签订合同</w:t>
            </w:r>
          </w:p>
        </w:tc>
        <w:tc>
          <w:tcPr>
            <w:tcW w:w="6195"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中标通知书发出后30天内签订合同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11</w:t>
            </w:r>
          </w:p>
        </w:tc>
        <w:tc>
          <w:tcPr>
            <w:tcW w:w="2779"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中标人履约保证金交纳</w:t>
            </w:r>
          </w:p>
        </w:tc>
        <w:tc>
          <w:tcPr>
            <w:tcW w:w="6195" w:type="dxa"/>
            <w:noWrap w:val="0"/>
            <w:vAlign w:val="center"/>
          </w:tcPr>
          <w:p>
            <w:pPr>
              <w:pStyle w:val="32"/>
              <w:snapToGrid w:val="0"/>
              <w:spacing w:line="312" w:lineRule="auto"/>
              <w:rPr>
                <w:rFonts w:hint="default" w:hAnsi="宋体" w:eastAsia="宋体" w:cs="宋体"/>
                <w:color w:val="auto"/>
                <w:szCs w:val="21"/>
                <w:highlight w:val="none"/>
                <w:lang w:val="en-US" w:eastAsia="zh-CN"/>
              </w:rPr>
            </w:pPr>
            <w:r>
              <w:rPr>
                <w:rFonts w:hint="eastAsia" w:hAnsi="宋体" w:cs="宋体"/>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12</w:t>
            </w:r>
          </w:p>
        </w:tc>
        <w:tc>
          <w:tcPr>
            <w:tcW w:w="2779" w:type="dxa"/>
            <w:noWrap w:val="0"/>
            <w:vAlign w:val="center"/>
          </w:tcPr>
          <w:p>
            <w:pPr>
              <w:pStyle w:val="32"/>
              <w:spacing w:line="312" w:lineRule="auto"/>
              <w:rPr>
                <w:rFonts w:hint="eastAsia" w:hAnsi="宋体" w:cs="宋体"/>
                <w:color w:val="auto"/>
                <w:szCs w:val="21"/>
                <w:highlight w:val="none"/>
              </w:rPr>
            </w:pPr>
            <w:r>
              <w:rPr>
                <w:rFonts w:hint="eastAsia" w:hAnsi="宋体" w:cs="宋体"/>
                <w:color w:val="auto"/>
                <w:szCs w:val="21"/>
                <w:highlight w:val="none"/>
              </w:rPr>
              <w:t>联合体投标</w:t>
            </w:r>
          </w:p>
        </w:tc>
        <w:tc>
          <w:tcPr>
            <w:tcW w:w="6195" w:type="dxa"/>
            <w:noWrap w:val="0"/>
            <w:vAlign w:val="center"/>
          </w:tcPr>
          <w:p>
            <w:pPr>
              <w:pStyle w:val="32"/>
              <w:spacing w:line="312" w:lineRule="auto"/>
              <w:rPr>
                <w:rFonts w:hint="eastAsia" w:hAnsi="宋体" w:eastAsia="宋体" w:cs="宋体"/>
                <w:color w:val="auto"/>
                <w:szCs w:val="21"/>
                <w:highlight w:val="none"/>
                <w:lang w:eastAsia="zh-CN"/>
              </w:rPr>
            </w:pPr>
            <w:r>
              <w:rPr>
                <w:rFonts w:hint="eastAsia" w:hAnsi="宋体" w:cs="宋体"/>
                <w:color w:val="auto"/>
                <w:szCs w:val="21"/>
                <w:highlight w:val="none"/>
              </w:rPr>
              <w:t>本项目谢绝联合体投标</w:t>
            </w:r>
            <w:r>
              <w:rPr>
                <w:rFonts w:hint="eastAsia"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13</w:t>
            </w:r>
          </w:p>
        </w:tc>
        <w:tc>
          <w:tcPr>
            <w:tcW w:w="2779"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采购公告，更正公告，中标公示发布网址</w:t>
            </w:r>
          </w:p>
        </w:tc>
        <w:tc>
          <w:tcPr>
            <w:tcW w:w="6195"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bCs/>
                <w:color w:val="auto"/>
                <w:szCs w:val="21"/>
                <w:highlight w:val="none"/>
              </w:rPr>
              <w:t>衢州市第三医院外网（www.qzsdsyy.com）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14</w:t>
            </w:r>
          </w:p>
        </w:tc>
        <w:tc>
          <w:tcPr>
            <w:tcW w:w="2779"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合同期限</w:t>
            </w:r>
          </w:p>
        </w:tc>
        <w:tc>
          <w:tcPr>
            <w:tcW w:w="6195" w:type="dxa"/>
            <w:noWrap w:val="0"/>
            <w:vAlign w:val="center"/>
          </w:tcPr>
          <w:p>
            <w:pPr>
              <w:spacing w:line="312" w:lineRule="auto"/>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二</w:t>
            </w:r>
            <w:r>
              <w:rPr>
                <w:rFonts w:hint="eastAsia" w:ascii="宋体" w:hAnsi="宋体" w:cs="宋体"/>
                <w:bCs/>
                <w:color w:val="auto"/>
                <w:szCs w:val="21"/>
                <w:highlight w:val="none"/>
              </w:rPr>
              <w:t>年，</w:t>
            </w:r>
            <w:r>
              <w:rPr>
                <w:rFonts w:hint="eastAsia" w:ascii="宋体" w:hAnsi="宋体" w:cs="宋体"/>
                <w:color w:val="auto"/>
                <w:szCs w:val="21"/>
                <w:highlight w:val="none"/>
              </w:rPr>
              <w:t>自合同签订之日起。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5" w:type="dxa"/>
            <w:noWrap w:val="0"/>
            <w:vAlign w:val="center"/>
          </w:tcPr>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15</w:t>
            </w:r>
          </w:p>
        </w:tc>
        <w:tc>
          <w:tcPr>
            <w:tcW w:w="2779" w:type="dxa"/>
            <w:noWrap w:val="0"/>
            <w:vAlign w:val="center"/>
          </w:tcPr>
          <w:p>
            <w:pPr>
              <w:pStyle w:val="32"/>
              <w:snapToGrid w:val="0"/>
              <w:spacing w:line="312" w:lineRule="auto"/>
              <w:rPr>
                <w:rFonts w:hint="eastAsia" w:hAnsi="宋体" w:cs="宋体"/>
                <w:color w:val="auto"/>
                <w:szCs w:val="21"/>
                <w:highlight w:val="none"/>
              </w:rPr>
            </w:pPr>
            <w:r>
              <w:rPr>
                <w:rFonts w:hint="eastAsia" w:hAnsi="宋体" w:cs="宋体"/>
                <w:color w:val="auto"/>
                <w:szCs w:val="21"/>
                <w:highlight w:val="none"/>
              </w:rPr>
              <w:t>特别提醒</w:t>
            </w:r>
          </w:p>
        </w:tc>
        <w:tc>
          <w:tcPr>
            <w:tcW w:w="6195" w:type="dxa"/>
            <w:noWrap w:val="0"/>
            <w:vAlign w:val="center"/>
          </w:tcPr>
          <w:p>
            <w:pPr>
              <w:pStyle w:val="32"/>
              <w:snapToGrid w:val="0"/>
              <w:spacing w:line="312" w:lineRule="auto"/>
              <w:rPr>
                <w:rFonts w:hint="eastAsia" w:hAnsi="宋体" w:cs="宋体"/>
                <w:bCs/>
                <w:color w:val="auto"/>
                <w:szCs w:val="21"/>
                <w:highlight w:val="none"/>
              </w:rPr>
            </w:pPr>
            <w:r>
              <w:rPr>
                <w:rFonts w:hint="eastAsia" w:hAnsi="宋体" w:cs="宋体"/>
                <w:color w:val="auto"/>
                <w:szCs w:val="21"/>
                <w:highlight w:val="none"/>
              </w:rPr>
              <w:t>竞争性磋商公告、磋商文件及采购结果公示的质疑时间根据《浙江省政府采购供应商质疑处理办法》的通知的第八条规定执行。超出该规定时间的质疑概不受理。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5" w:type="dxa"/>
            <w:noWrap w:val="0"/>
            <w:vAlign w:val="center"/>
          </w:tcPr>
          <w:p>
            <w:pPr>
              <w:pStyle w:val="32"/>
              <w:snapToGrid w:val="0"/>
              <w:spacing w:line="312" w:lineRule="auto"/>
              <w:jc w:val="center"/>
              <w:rPr>
                <w:rFonts w:hAnsi="宋体" w:cs="宋体"/>
                <w:color w:val="auto"/>
                <w:szCs w:val="21"/>
                <w:highlight w:val="none"/>
              </w:rPr>
            </w:pPr>
            <w:r>
              <w:rPr>
                <w:rFonts w:hint="eastAsia" w:hAnsi="宋体" w:cs="宋体"/>
                <w:color w:val="auto"/>
                <w:szCs w:val="21"/>
                <w:highlight w:val="none"/>
              </w:rPr>
              <w:t>16</w:t>
            </w:r>
          </w:p>
        </w:tc>
        <w:tc>
          <w:tcPr>
            <w:tcW w:w="2779" w:type="dxa"/>
            <w:noWrap w:val="0"/>
            <w:vAlign w:val="center"/>
          </w:tcPr>
          <w:p>
            <w:pPr>
              <w:pStyle w:val="32"/>
              <w:snapToGrid w:val="0"/>
              <w:spacing w:line="360" w:lineRule="auto"/>
              <w:rPr>
                <w:rFonts w:hint="eastAsia" w:hAnsi="宋体" w:cs="宋体"/>
                <w:color w:val="auto"/>
                <w:szCs w:val="21"/>
                <w:highlight w:val="none"/>
              </w:rPr>
            </w:pPr>
            <w:r>
              <w:rPr>
                <w:rFonts w:hint="eastAsia" w:hAnsi="宋体" w:cs="宋体"/>
                <w:color w:val="auto"/>
                <w:szCs w:val="21"/>
                <w:highlight w:val="none"/>
              </w:rPr>
              <w:t>注意事项</w:t>
            </w:r>
          </w:p>
        </w:tc>
        <w:tc>
          <w:tcPr>
            <w:tcW w:w="6195" w:type="dxa"/>
            <w:noWrap w:val="0"/>
            <w:vAlign w:val="center"/>
          </w:tcPr>
          <w:p>
            <w:pPr>
              <w:pStyle w:val="32"/>
              <w:snapToGrid w:val="0"/>
              <w:spacing w:line="360" w:lineRule="auto"/>
              <w:rPr>
                <w:rFonts w:hint="eastAsia" w:hAnsi="宋体" w:cs="宋体"/>
                <w:color w:val="auto"/>
                <w:szCs w:val="21"/>
                <w:highlight w:val="none"/>
              </w:rPr>
            </w:pPr>
            <w:r>
              <w:rPr>
                <w:rFonts w:hint="eastAsia" w:hAnsi="宋体" w:cs="宋体"/>
                <w:color w:val="auto"/>
                <w:szCs w:val="21"/>
                <w:highlight w:val="none"/>
              </w:rPr>
              <w:t>根据《关于在政府采购活动中查询及使用信用记录有关问题的通知》财库[2016]125号的规定：</w:t>
            </w:r>
          </w:p>
          <w:p>
            <w:pPr>
              <w:pStyle w:val="32"/>
              <w:snapToGrid w:val="0"/>
              <w:spacing w:line="360" w:lineRule="auto"/>
              <w:rPr>
                <w:rFonts w:hint="eastAsia" w:hAnsi="宋体" w:cs="宋体"/>
                <w:color w:val="auto"/>
                <w:szCs w:val="21"/>
                <w:highlight w:val="none"/>
              </w:rPr>
            </w:pPr>
            <w:r>
              <w:rPr>
                <w:rFonts w:hint="eastAsia" w:hAnsi="宋体" w:cs="宋体"/>
                <w:color w:val="auto"/>
                <w:szCs w:val="21"/>
                <w:highlight w:val="none"/>
              </w:rPr>
              <w:t>1）采购人或采购代理机构将对本项目投标人的信用记录进行查询。查询渠道为信用中国网站（www.creditchina.gov.cn）、中国政府采购网（www.ccgp.gov.cn）；</w:t>
            </w:r>
          </w:p>
          <w:p>
            <w:pPr>
              <w:pStyle w:val="32"/>
              <w:snapToGrid w:val="0"/>
              <w:spacing w:line="360" w:lineRule="auto"/>
              <w:rPr>
                <w:rFonts w:hint="eastAsia" w:hAnsi="宋体" w:cs="宋体"/>
                <w:color w:val="auto"/>
                <w:szCs w:val="21"/>
                <w:highlight w:val="none"/>
              </w:rPr>
            </w:pPr>
            <w:r>
              <w:rPr>
                <w:rFonts w:hint="eastAsia" w:hAnsi="宋体" w:cs="宋体"/>
                <w:color w:val="auto"/>
                <w:szCs w:val="21"/>
                <w:highlight w:val="none"/>
              </w:rPr>
              <w:t>2）截止时点：提交投标文件（响应文件）截止时间前3年内；</w:t>
            </w:r>
          </w:p>
          <w:p>
            <w:pPr>
              <w:pStyle w:val="32"/>
              <w:snapToGrid w:val="0"/>
              <w:spacing w:line="360" w:lineRule="auto"/>
              <w:rPr>
                <w:rFonts w:hint="eastAsia" w:hAnsi="宋体" w:cs="宋体"/>
                <w:color w:val="auto"/>
                <w:szCs w:val="21"/>
                <w:highlight w:val="none"/>
              </w:rPr>
            </w:pPr>
            <w:r>
              <w:rPr>
                <w:rFonts w:hint="eastAsia" w:hAnsi="宋体" w:cs="宋体"/>
                <w:color w:val="auto"/>
                <w:szCs w:val="21"/>
                <w:highlight w:val="none"/>
              </w:rPr>
              <w:t>3）查询记录和证据的留存：信用信息查询记录和证据以网页截图等方式留存。</w:t>
            </w:r>
          </w:p>
          <w:p>
            <w:pPr>
              <w:pStyle w:val="32"/>
              <w:snapToGrid w:val="0"/>
              <w:spacing w:line="360" w:lineRule="auto"/>
              <w:rPr>
                <w:rFonts w:hint="eastAsia" w:hAnsi="宋体" w:cs="宋体"/>
                <w:color w:val="auto"/>
                <w:szCs w:val="21"/>
                <w:highlight w:val="none"/>
              </w:rPr>
            </w:pPr>
            <w:r>
              <w:rPr>
                <w:rFonts w:hint="eastAsia" w:hAnsi="宋体" w:cs="宋体"/>
                <w:color w:val="auto"/>
                <w:szCs w:val="21"/>
                <w:highlight w:val="none"/>
              </w:rPr>
              <w:t>4）使用规则：被列入失信被执行人、重大税收违法案件当事人名单、政府采购严重违法失信行为记录名单及其它不符合《中华人民共和国政府采购法》第二十二条规定条件的，其投标将被拒绝。</w:t>
            </w:r>
          </w:p>
          <w:p>
            <w:pPr>
              <w:pStyle w:val="32"/>
              <w:snapToGrid w:val="0"/>
              <w:spacing w:line="360" w:lineRule="auto"/>
              <w:rPr>
                <w:rFonts w:hint="eastAsia" w:hAnsi="宋体" w:cs="宋体"/>
                <w:color w:val="auto"/>
                <w:szCs w:val="21"/>
                <w:highlight w:val="none"/>
              </w:rPr>
            </w:pPr>
            <w:r>
              <w:rPr>
                <w:rFonts w:hint="eastAsia" w:hAnsi="宋体" w:cs="宋体"/>
                <w:color w:val="auto"/>
                <w:szCs w:val="21"/>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5" w:type="dxa"/>
            <w:noWrap w:val="0"/>
            <w:vAlign w:val="center"/>
          </w:tcPr>
          <w:p>
            <w:pPr>
              <w:pStyle w:val="32"/>
              <w:snapToGrid w:val="0"/>
              <w:spacing w:line="312" w:lineRule="auto"/>
              <w:jc w:val="center"/>
              <w:rPr>
                <w:rFonts w:hint="default" w:hAnsi="宋体" w:eastAsia="宋体" w:cs="宋体"/>
                <w:color w:val="auto"/>
                <w:szCs w:val="21"/>
                <w:highlight w:val="none"/>
                <w:lang w:val="en-US" w:eastAsia="zh-CN"/>
              </w:rPr>
            </w:pPr>
            <w:bookmarkStart w:id="17" w:name="_Toc387928020"/>
            <w:bookmarkStart w:id="18" w:name="_Toc391380570"/>
            <w:bookmarkStart w:id="19" w:name="_Toc15104"/>
            <w:bookmarkStart w:id="20" w:name="_Toc356371433"/>
            <w:r>
              <w:rPr>
                <w:rFonts w:hint="eastAsia" w:hAnsi="宋体" w:cs="宋体"/>
                <w:color w:val="auto"/>
                <w:szCs w:val="21"/>
                <w:highlight w:val="none"/>
                <w:lang w:val="en-US" w:eastAsia="zh-CN"/>
              </w:rPr>
              <w:t>17</w:t>
            </w:r>
          </w:p>
        </w:tc>
        <w:tc>
          <w:tcPr>
            <w:tcW w:w="2779" w:type="dxa"/>
            <w:noWrap w:val="0"/>
            <w:vAlign w:val="center"/>
          </w:tcPr>
          <w:p>
            <w:pPr>
              <w:pStyle w:val="32"/>
              <w:keepNext w:val="0"/>
              <w:keepLines w:val="0"/>
              <w:pageBreakBefore w:val="0"/>
              <w:kinsoku/>
              <w:overflowPunct/>
              <w:topLinePunct w:val="0"/>
              <w:bidi w:val="0"/>
              <w:snapToGrid w:val="0"/>
              <w:spacing w:line="312" w:lineRule="auto"/>
              <w:textAlignment w:val="auto"/>
              <w:rPr>
                <w:rFonts w:hint="eastAsia" w:hAnsi="宋体" w:cs="宋体"/>
                <w:color w:val="auto"/>
                <w:szCs w:val="21"/>
                <w:highlight w:val="none"/>
              </w:rPr>
            </w:pPr>
            <w:r>
              <w:rPr>
                <w:rFonts w:hint="eastAsia" w:ascii="宋体" w:hAnsi="宋体" w:eastAsia="宋体" w:cs="宋体"/>
                <w:color w:val="auto"/>
                <w:szCs w:val="21"/>
                <w:highlight w:val="none"/>
              </w:rPr>
              <w:t>支持中小企业发展</w:t>
            </w:r>
          </w:p>
        </w:tc>
        <w:tc>
          <w:tcPr>
            <w:tcW w:w="6195" w:type="dxa"/>
            <w:noWrap w:val="0"/>
            <w:vAlign w:val="center"/>
          </w:tcPr>
          <w:p>
            <w:pPr>
              <w:pStyle w:val="32"/>
              <w:keepNext w:val="0"/>
              <w:keepLines w:val="0"/>
              <w:pageBreakBefore w:val="0"/>
              <w:kinsoku/>
              <w:overflowPunct/>
              <w:topLinePunct w:val="0"/>
              <w:bidi w:val="0"/>
              <w:snapToGrid w:val="0"/>
              <w:spacing w:line="312" w:lineRule="auto"/>
              <w:ind w:firstLine="420" w:firstLineChars="200"/>
              <w:jc w:val="left"/>
              <w:textAlignment w:val="auto"/>
              <w:rPr>
                <w:rFonts w:hint="eastAsia"/>
                <w:highlight w:val="none"/>
              </w:rPr>
            </w:pPr>
            <w:r>
              <w:rPr>
                <w:rFonts w:hint="eastAsia"/>
                <w:highlight w:val="none"/>
              </w:rPr>
              <w:t>1</w:t>
            </w:r>
            <w:r>
              <w:rPr>
                <w:rFonts w:hint="eastAsia"/>
                <w:highlight w:val="none"/>
                <w:lang w:val="en-US" w:eastAsia="zh-CN"/>
              </w:rPr>
              <w:t>.</w:t>
            </w:r>
            <w:r>
              <w:rPr>
                <w:rFonts w:hint="eastAsia"/>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2"/>
              <w:keepNext w:val="0"/>
              <w:keepLines w:val="0"/>
              <w:pageBreakBefore w:val="0"/>
              <w:kinsoku/>
              <w:overflowPunct/>
              <w:topLinePunct w:val="0"/>
              <w:bidi w:val="0"/>
              <w:snapToGrid w:val="0"/>
              <w:spacing w:line="312" w:lineRule="auto"/>
              <w:ind w:firstLine="420" w:firstLineChars="200"/>
              <w:jc w:val="left"/>
              <w:textAlignment w:val="auto"/>
              <w:rPr>
                <w:rFonts w:hint="eastAsia"/>
                <w:highlight w:val="none"/>
              </w:rPr>
            </w:pPr>
            <w:r>
              <w:rPr>
                <w:rFonts w:hint="eastAsia"/>
                <w:highlight w:val="none"/>
              </w:rPr>
              <w:t>符合中小企业划分标准的个体工商户，在政府采购活动中视同中小企业。</w:t>
            </w:r>
          </w:p>
          <w:p>
            <w:pPr>
              <w:pStyle w:val="32"/>
              <w:keepNext w:val="0"/>
              <w:keepLines w:val="0"/>
              <w:pageBreakBefore w:val="0"/>
              <w:kinsoku/>
              <w:overflowPunct/>
              <w:topLinePunct w:val="0"/>
              <w:bidi w:val="0"/>
              <w:snapToGrid w:val="0"/>
              <w:spacing w:line="312" w:lineRule="auto"/>
              <w:ind w:firstLine="420" w:firstLineChars="200"/>
              <w:jc w:val="left"/>
              <w:textAlignment w:val="auto"/>
              <w:rPr>
                <w:rFonts w:hint="eastAsia"/>
                <w:highlight w:val="none"/>
              </w:rPr>
            </w:pPr>
            <w:r>
              <w:rPr>
                <w:rFonts w:hint="eastAsia"/>
                <w:highlight w:val="none"/>
              </w:rPr>
              <w:t>2</w:t>
            </w:r>
            <w:r>
              <w:rPr>
                <w:rFonts w:hint="eastAsia"/>
                <w:highlight w:val="none"/>
                <w:lang w:val="en-US" w:eastAsia="zh-CN"/>
              </w:rPr>
              <w:t>.</w:t>
            </w:r>
            <w:r>
              <w:rPr>
                <w:rFonts w:hint="eastAsia"/>
                <w:highlight w:val="none"/>
              </w:rPr>
              <w:t>在政府采购活动中，投标人提供的货物、工程或者服务符合下列情形的，享受中小企业扶持政策：</w:t>
            </w:r>
          </w:p>
          <w:p>
            <w:pPr>
              <w:pStyle w:val="32"/>
              <w:keepNext w:val="0"/>
              <w:keepLines w:val="0"/>
              <w:pageBreakBefore w:val="0"/>
              <w:kinsoku/>
              <w:overflowPunct/>
              <w:topLinePunct w:val="0"/>
              <w:bidi w:val="0"/>
              <w:snapToGrid w:val="0"/>
              <w:spacing w:line="312" w:lineRule="auto"/>
              <w:ind w:firstLine="420" w:firstLineChars="200"/>
              <w:jc w:val="left"/>
              <w:textAlignment w:val="auto"/>
              <w:rPr>
                <w:rFonts w:hint="eastAsia"/>
                <w:highlight w:val="none"/>
              </w:rPr>
            </w:pPr>
            <w:r>
              <w:rPr>
                <w:rFonts w:hint="eastAsia"/>
                <w:highlight w:val="none"/>
              </w:rPr>
              <w:t>2.1在货物采购项目中，货物由中小企业制造，即货物由中小企业生产且使用该中小企业商号或者注册商标；</w:t>
            </w:r>
          </w:p>
          <w:p>
            <w:pPr>
              <w:pStyle w:val="32"/>
              <w:keepNext w:val="0"/>
              <w:keepLines w:val="0"/>
              <w:pageBreakBefore w:val="0"/>
              <w:kinsoku/>
              <w:overflowPunct/>
              <w:topLinePunct w:val="0"/>
              <w:bidi w:val="0"/>
              <w:snapToGrid w:val="0"/>
              <w:spacing w:line="312" w:lineRule="auto"/>
              <w:ind w:firstLine="420" w:firstLineChars="200"/>
              <w:jc w:val="left"/>
              <w:textAlignment w:val="auto"/>
              <w:rPr>
                <w:rFonts w:hint="eastAsia"/>
                <w:highlight w:val="none"/>
              </w:rPr>
            </w:pPr>
            <w:r>
              <w:rPr>
                <w:rFonts w:hint="eastAsia"/>
                <w:highlight w:val="none"/>
              </w:rPr>
              <w:t>2.2在工程采购项目中，工程由中小企业承建，即工程施工单位为中小企业；</w:t>
            </w:r>
          </w:p>
          <w:p>
            <w:pPr>
              <w:pStyle w:val="32"/>
              <w:keepNext w:val="0"/>
              <w:keepLines w:val="0"/>
              <w:pageBreakBefore w:val="0"/>
              <w:kinsoku/>
              <w:overflowPunct/>
              <w:topLinePunct w:val="0"/>
              <w:bidi w:val="0"/>
              <w:snapToGrid w:val="0"/>
              <w:spacing w:line="312" w:lineRule="auto"/>
              <w:ind w:firstLine="420" w:firstLineChars="200"/>
              <w:jc w:val="left"/>
              <w:textAlignment w:val="auto"/>
              <w:rPr>
                <w:rFonts w:hint="eastAsia"/>
                <w:highlight w:val="none"/>
              </w:rPr>
            </w:pPr>
            <w:r>
              <w:rPr>
                <w:rFonts w:hint="eastAsia"/>
                <w:highlight w:val="none"/>
              </w:rPr>
              <w:t>2.3在服务采购项目中，服务由中小企业承接，即提供服务的人员为中小企业依照《中华人民共和国劳动合同法》订立劳动合同的从业人员。</w:t>
            </w:r>
          </w:p>
          <w:p>
            <w:pPr>
              <w:pStyle w:val="32"/>
              <w:keepNext w:val="0"/>
              <w:keepLines w:val="0"/>
              <w:pageBreakBefore w:val="0"/>
              <w:kinsoku/>
              <w:overflowPunct/>
              <w:topLinePunct w:val="0"/>
              <w:bidi w:val="0"/>
              <w:snapToGrid w:val="0"/>
              <w:spacing w:line="312" w:lineRule="auto"/>
              <w:ind w:firstLine="420" w:firstLineChars="200"/>
              <w:jc w:val="left"/>
              <w:textAlignment w:val="auto"/>
              <w:rPr>
                <w:rFonts w:hint="eastAsia"/>
                <w:highlight w:val="none"/>
              </w:rPr>
            </w:pPr>
            <w:r>
              <w:rPr>
                <w:rFonts w:hint="eastAsia"/>
                <w:highlight w:val="none"/>
              </w:rPr>
              <w:t>在货物采购项目中，投标人提供的货物既有中小企业制造货物，也有大型企业制造货物的，不享受中小企业扶持政策。</w:t>
            </w:r>
          </w:p>
          <w:p>
            <w:pPr>
              <w:pStyle w:val="32"/>
              <w:keepNext w:val="0"/>
              <w:keepLines w:val="0"/>
              <w:pageBreakBefore w:val="0"/>
              <w:kinsoku/>
              <w:overflowPunct/>
              <w:topLinePunct w:val="0"/>
              <w:bidi w:val="0"/>
              <w:snapToGrid w:val="0"/>
              <w:spacing w:line="312" w:lineRule="auto"/>
              <w:ind w:firstLine="420" w:firstLineChars="200"/>
              <w:jc w:val="left"/>
              <w:textAlignment w:val="auto"/>
              <w:rPr>
                <w:rFonts w:hint="eastAsia"/>
                <w:highlight w:val="none"/>
              </w:rPr>
            </w:pPr>
            <w:r>
              <w:rPr>
                <w:rFonts w:hint="eastAsia"/>
                <w:highlight w:val="none"/>
              </w:rPr>
              <w:t>以联合体形式参加政府采购活动，联合体各方均为中小企业的，联合体视同中小企业。其中，联合体各方均为小微企业的，联合体视同小微企业。</w:t>
            </w:r>
          </w:p>
          <w:p>
            <w:pPr>
              <w:pStyle w:val="32"/>
              <w:keepNext w:val="0"/>
              <w:keepLines w:val="0"/>
              <w:pageBreakBefore w:val="0"/>
              <w:kinsoku/>
              <w:overflowPunct/>
              <w:topLinePunct w:val="0"/>
              <w:bidi w:val="0"/>
              <w:snapToGrid w:val="0"/>
              <w:spacing w:line="312" w:lineRule="auto"/>
              <w:ind w:firstLine="420" w:firstLineChars="200"/>
              <w:jc w:val="left"/>
              <w:textAlignment w:val="auto"/>
              <w:rPr>
                <w:rFonts w:hint="eastAsia"/>
                <w:highlight w:val="none"/>
              </w:rPr>
            </w:pPr>
            <w:r>
              <w:rPr>
                <w:rFonts w:hint="eastAsia"/>
                <w:highlight w:val="none"/>
              </w:rPr>
              <w:t>3</w:t>
            </w:r>
            <w:r>
              <w:rPr>
                <w:rFonts w:hint="eastAsia"/>
                <w:highlight w:val="none"/>
                <w:lang w:val="en-US" w:eastAsia="zh-CN"/>
              </w:rPr>
              <w:t>.</w:t>
            </w:r>
            <w:r>
              <w:rPr>
                <w:rFonts w:hint="eastAsia"/>
                <w:highlight w:val="none"/>
              </w:rPr>
              <w:t>对于未预留份额专门面向中小企业的政府采购货物或服务项目，以及预留份额政府采购货物或服务项目中的非预留部分标项，对小型和微型企业的投标报价给予</w:t>
            </w:r>
            <w:r>
              <w:rPr>
                <w:rFonts w:hint="eastAsia"/>
                <w:highlight w:val="none"/>
                <w:lang w:val="en-US" w:eastAsia="zh-CN"/>
              </w:rPr>
              <w:t>2</w:t>
            </w:r>
            <w:r>
              <w:rPr>
                <w:rFonts w:hint="eastAsia"/>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highlight w:val="none"/>
                <w:lang w:val="en-US" w:eastAsia="zh-CN"/>
              </w:rPr>
              <w:t>6</w:t>
            </w:r>
            <w:r>
              <w:rPr>
                <w:rFonts w:hint="eastAsia"/>
                <w:highlight w:val="none"/>
              </w:rPr>
              <w:t>%的扣除，用扣除后的价格参加评审。组成联合体或者接受分包的小微企业与联合体内其他企业、分包企业之间存在直接控股、管理关系的，不享受价格扣除优惠政策。</w:t>
            </w:r>
          </w:p>
          <w:p>
            <w:pPr>
              <w:pStyle w:val="32"/>
              <w:keepNext w:val="0"/>
              <w:keepLines w:val="0"/>
              <w:pageBreakBefore w:val="0"/>
              <w:kinsoku/>
              <w:overflowPunct/>
              <w:topLinePunct w:val="0"/>
              <w:bidi w:val="0"/>
              <w:snapToGrid w:val="0"/>
              <w:spacing w:line="312" w:lineRule="auto"/>
              <w:ind w:firstLine="420" w:firstLineChars="200"/>
              <w:jc w:val="left"/>
              <w:textAlignment w:val="auto"/>
              <w:rPr>
                <w:rFonts w:hint="eastAsia"/>
                <w:highlight w:val="none"/>
              </w:rPr>
            </w:pPr>
            <w:r>
              <w:rPr>
                <w:rFonts w:hint="eastAsia"/>
                <w:highlight w:val="none"/>
              </w:rPr>
              <w:t>4</w:t>
            </w:r>
            <w:r>
              <w:rPr>
                <w:rFonts w:hint="eastAsia"/>
                <w:highlight w:val="none"/>
                <w:lang w:val="en-US" w:eastAsia="zh-CN"/>
              </w:rPr>
              <w:t>.</w:t>
            </w:r>
            <w:r>
              <w:rPr>
                <w:rFonts w:hint="eastAsia"/>
                <w:highlight w:val="none"/>
              </w:rPr>
              <w:t>符合《关于促进残疾人就业政府采购政策的通知》（财库〔2017〕141号）规定的条件并提供《残疾人福利性单位声明函》（附件1）的残疾人福利性单位视同小型、微型企业；</w:t>
            </w:r>
          </w:p>
          <w:p>
            <w:pPr>
              <w:pStyle w:val="32"/>
              <w:keepNext w:val="0"/>
              <w:keepLines w:val="0"/>
              <w:pageBreakBefore w:val="0"/>
              <w:kinsoku/>
              <w:overflowPunct/>
              <w:topLinePunct w:val="0"/>
              <w:bidi w:val="0"/>
              <w:snapToGrid w:val="0"/>
              <w:spacing w:line="312" w:lineRule="auto"/>
              <w:ind w:firstLine="420" w:firstLineChars="200"/>
              <w:jc w:val="left"/>
              <w:textAlignment w:val="auto"/>
              <w:rPr>
                <w:rFonts w:hint="eastAsia"/>
                <w:highlight w:val="none"/>
              </w:rPr>
            </w:pPr>
            <w:r>
              <w:rPr>
                <w:rFonts w:hint="eastAsia"/>
                <w:highlight w:val="none"/>
              </w:rPr>
              <w:t>5</w:t>
            </w:r>
            <w:r>
              <w:rPr>
                <w:rFonts w:hint="eastAsia"/>
                <w:highlight w:val="none"/>
                <w:lang w:val="en-US" w:eastAsia="zh-CN"/>
              </w:rPr>
              <w:t>.</w:t>
            </w:r>
            <w:r>
              <w:rPr>
                <w:rFonts w:hint="eastAsia"/>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32"/>
              <w:keepNext w:val="0"/>
              <w:keepLines w:val="0"/>
              <w:pageBreakBefore w:val="0"/>
              <w:kinsoku/>
              <w:overflowPunct/>
              <w:topLinePunct w:val="0"/>
              <w:bidi w:val="0"/>
              <w:snapToGrid w:val="0"/>
              <w:spacing w:line="312" w:lineRule="auto"/>
              <w:ind w:firstLine="420" w:firstLineChars="200"/>
              <w:jc w:val="left"/>
              <w:textAlignment w:val="auto"/>
              <w:rPr>
                <w:rFonts w:hint="eastAsia"/>
                <w:highlight w:val="none"/>
              </w:rPr>
            </w:pPr>
            <w:r>
              <w:rPr>
                <w:rFonts w:hint="eastAsia"/>
                <w:highlight w:val="none"/>
              </w:rPr>
              <w:t>6</w:t>
            </w:r>
            <w:r>
              <w:rPr>
                <w:rFonts w:hint="eastAsia"/>
                <w:highlight w:val="none"/>
                <w:lang w:val="en-US" w:eastAsia="zh-CN"/>
              </w:rPr>
              <w:t>.</w:t>
            </w:r>
            <w:r>
              <w:rPr>
                <w:rFonts w:hint="eastAsia"/>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pStyle w:val="32"/>
              <w:keepNext w:val="0"/>
              <w:keepLines w:val="0"/>
              <w:pageBreakBefore w:val="0"/>
              <w:kinsoku/>
              <w:overflowPunct/>
              <w:topLinePunct w:val="0"/>
              <w:bidi w:val="0"/>
              <w:snapToGrid w:val="0"/>
              <w:spacing w:line="312" w:lineRule="auto"/>
              <w:ind w:firstLine="420" w:firstLineChars="200"/>
              <w:jc w:val="left"/>
              <w:textAlignment w:val="auto"/>
              <w:rPr>
                <w:rFonts w:hint="eastAsia"/>
                <w:highlight w:val="none"/>
              </w:rPr>
            </w:pPr>
            <w:r>
              <w:rPr>
                <w:rFonts w:hint="eastAsia"/>
                <w:highlight w:val="none"/>
              </w:rPr>
              <w:t>7</w:t>
            </w:r>
            <w:r>
              <w:rPr>
                <w:rFonts w:hint="eastAsia"/>
                <w:highlight w:val="none"/>
                <w:lang w:val="en-US" w:eastAsia="zh-CN"/>
              </w:rPr>
              <w:t>.</w:t>
            </w:r>
            <w:r>
              <w:rPr>
                <w:rFonts w:hint="eastAsia"/>
                <w:highlight w:val="none"/>
              </w:rPr>
              <w:t>中小企业享受扶持政策获得政府采购合同的，小微企业不得将合同分包给大中型企业，中型企业不得将合同分包给大型企业。</w:t>
            </w:r>
          </w:p>
          <w:p>
            <w:pPr>
              <w:ind w:firstLine="422" w:firstLineChars="200"/>
              <w:rPr>
                <w:rFonts w:hint="eastAsia" w:hAnsi="宋体" w:cs="宋体"/>
                <w:color w:val="auto"/>
                <w:szCs w:val="21"/>
                <w:highlight w:val="none"/>
              </w:rPr>
            </w:pPr>
            <w:r>
              <w:rPr>
                <w:rFonts w:hint="eastAsia" w:eastAsia="宋体"/>
                <w:b/>
                <w:bCs/>
                <w:color w:val="auto"/>
                <w:sz w:val="21"/>
                <w:szCs w:val="21"/>
                <w:highlight w:val="none"/>
                <w:lang w:val="en-US" w:eastAsia="zh-CN"/>
              </w:rPr>
              <w:t>8.</w:t>
            </w:r>
            <w:r>
              <w:rPr>
                <w:rFonts w:hint="eastAsia" w:eastAsia="宋体"/>
                <w:b/>
                <w:bCs/>
                <w:color w:val="auto"/>
                <w:sz w:val="21"/>
                <w:szCs w:val="21"/>
                <w:highlight w:val="none"/>
                <w:lang w:val="zh-CN"/>
              </w:rPr>
              <w:t>标的名称：</w:t>
            </w:r>
            <w:r>
              <w:rPr>
                <w:rFonts w:hint="eastAsia" w:eastAsia="宋体"/>
                <w:b/>
                <w:bCs/>
                <w:color w:val="auto"/>
                <w:sz w:val="21"/>
                <w:szCs w:val="21"/>
                <w:highlight w:val="none"/>
                <w:lang w:val="zh-CN" w:eastAsia="zh-Hans"/>
              </w:rPr>
              <w:t>衢州市第三医院</w:t>
            </w:r>
            <w:r>
              <w:rPr>
                <w:rFonts w:hint="eastAsia"/>
                <w:b/>
                <w:bCs/>
                <w:color w:val="auto"/>
                <w:sz w:val="21"/>
                <w:szCs w:val="21"/>
                <w:highlight w:val="none"/>
                <w:lang w:val="en-US" w:eastAsia="zh-CN"/>
              </w:rPr>
              <w:t>2022-2024年度食堂蔬菜（包括干货、豆制品、半成品食品）及水果配送采购项目</w:t>
            </w:r>
            <w:r>
              <w:rPr>
                <w:rFonts w:hint="eastAsia" w:eastAsia="宋体"/>
                <w:b/>
                <w:bCs/>
                <w:color w:val="auto"/>
                <w:sz w:val="21"/>
                <w:szCs w:val="21"/>
                <w:highlight w:val="none"/>
                <w:lang w:val="zh-CN"/>
              </w:rPr>
              <w:t>，所属行业：</w:t>
            </w:r>
            <w:r>
              <w:rPr>
                <w:rFonts w:hint="eastAsia"/>
                <w:b/>
                <w:bCs/>
                <w:color w:val="auto"/>
                <w:sz w:val="21"/>
                <w:szCs w:val="21"/>
                <w:highlight w:val="none"/>
                <w:lang w:val="en-US" w:eastAsia="zh-CN"/>
              </w:rPr>
              <w:t>其他未列明行业</w:t>
            </w:r>
            <w:r>
              <w:rPr>
                <w:rFonts w:hint="eastAsia" w:eastAsia="宋体"/>
                <w:b/>
                <w:bCs/>
                <w:color w:val="auto"/>
                <w:sz w:val="21"/>
                <w:szCs w:val="21"/>
                <w:highlight w:val="none"/>
                <w:lang w:val="zh-CN"/>
              </w:rPr>
              <w:t>。</w:t>
            </w:r>
          </w:p>
        </w:tc>
      </w:tr>
    </w:tbl>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r>
        <w:rPr>
          <w:rFonts w:hint="eastAsia" w:ascii="宋体" w:hAnsi="宋体" w:cs="宋体"/>
          <w:bCs/>
          <w:color w:val="auto"/>
          <w:szCs w:val="21"/>
          <w:highlight w:val="none"/>
        </w:rPr>
        <w:t>二、投标须知</w:t>
      </w:r>
      <w:bookmarkEnd w:id="17"/>
      <w:bookmarkEnd w:id="18"/>
      <w:bookmarkEnd w:id="19"/>
      <w:bookmarkEnd w:id="20"/>
    </w:p>
    <w:p>
      <w:pPr>
        <w:snapToGrid w:val="0"/>
        <w:spacing w:before="120" w:beforeLines="50" w:after="120" w:afterLines="50" w:line="312" w:lineRule="auto"/>
        <w:ind w:firstLine="420" w:firstLineChars="200"/>
        <w:outlineLvl w:val="1"/>
        <w:rPr>
          <w:rFonts w:hint="eastAsia" w:ascii="宋体" w:hAnsi="宋体" w:cs="宋体"/>
          <w:b/>
          <w:color w:val="auto"/>
          <w:szCs w:val="21"/>
          <w:highlight w:val="none"/>
        </w:rPr>
      </w:pPr>
      <w:bookmarkStart w:id="21" w:name="_Toc7793"/>
      <w:bookmarkStart w:id="22" w:name="_Toc24427"/>
      <w:bookmarkStart w:id="23" w:name="_Toc11135"/>
      <w:r>
        <w:rPr>
          <w:rFonts w:hint="eastAsia" w:ascii="宋体" w:hAnsi="宋体" w:cs="宋体"/>
          <w:color w:val="auto"/>
          <w:szCs w:val="21"/>
          <w:highlight w:val="none"/>
        </w:rPr>
        <w:t>1.适用范围</w:t>
      </w:r>
      <w:bookmarkEnd w:id="21"/>
      <w:bookmarkEnd w:id="22"/>
      <w:bookmarkEnd w:id="23"/>
    </w:p>
    <w:p>
      <w:pPr>
        <w:tabs>
          <w:tab w:val="left" w:pos="0"/>
          <w:tab w:val="left" w:pos="900"/>
          <w:tab w:val="left" w:pos="7020"/>
          <w:tab w:val="left" w:pos="8460"/>
        </w:tabs>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本磋商文件仅适用于本次招标采购项目的招标、投标、评标、定标、验收、合同履约、付款等行为。</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2.定义</w:t>
      </w:r>
    </w:p>
    <w:p>
      <w:pPr>
        <w:pStyle w:val="24"/>
        <w:spacing w:line="312"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2.1“招标代理机构”是指浙江省成套工程有限公司。</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2.2“采购人”系指提出本次采购的委托单位：衢州市第三医院。</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2.3“投标人”系指向招标方提交磋商响应文件的供应商。</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2.4“中标人”是指经评标小组审查通过，并经公示无异议的投标人。</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2.5“服务”系指根据本合同规定，中标人须承担</w:t>
      </w:r>
      <w:r>
        <w:rPr>
          <w:rFonts w:hint="eastAsia" w:ascii="宋体" w:hAnsi="宋体" w:cs="宋体"/>
          <w:color w:val="auto"/>
          <w:szCs w:val="21"/>
          <w:highlight w:val="none"/>
          <w:lang w:eastAsia="zh-CN"/>
        </w:rPr>
        <w:t>的2022-2024年度食堂蔬菜（包括干货、豆制品、半成品食品）及水果配送</w:t>
      </w:r>
      <w:r>
        <w:rPr>
          <w:rFonts w:hint="eastAsia" w:ascii="宋体" w:hAnsi="宋体" w:cs="宋体"/>
          <w:color w:val="auto"/>
          <w:szCs w:val="21"/>
          <w:highlight w:val="none"/>
        </w:rPr>
        <w:t>服务。</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“▲”系指实质性要求条款。</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3.投标费用</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不论投标结果如何，投标人均应自行承担所有与投标有关的全部费用。</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4.招标方式</w:t>
      </w:r>
    </w:p>
    <w:p>
      <w:pPr>
        <w:snapToGrid w:val="0"/>
        <w:spacing w:line="312"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本次招标采用竞争性磋商方式进行。</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5.投标委托</w:t>
      </w:r>
    </w:p>
    <w:p>
      <w:pPr>
        <w:pStyle w:val="24"/>
        <w:snapToGrid w:val="0"/>
        <w:spacing w:line="312"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投标人代表须携带有效身份证件。如投标人代表不是法定代表人，须有法定代表人出具的授权委托书（正本用原件，副本用复印件，格式见第四部分）。</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6.联合体投标</w:t>
      </w:r>
    </w:p>
    <w:p>
      <w:pPr>
        <w:snapToGrid w:val="0"/>
        <w:spacing w:line="312"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本项目不接受联合体投标。</w:t>
      </w:r>
    </w:p>
    <w:p>
      <w:pPr>
        <w:snapToGrid w:val="0"/>
        <w:spacing w:line="312"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7.转包与分包</w:t>
      </w:r>
    </w:p>
    <w:p>
      <w:pPr>
        <w:snapToGrid w:val="0"/>
        <w:spacing w:line="312"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本项目不允许转包与分包。</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8.特别说明</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8.1▲投标人应仔细阅读磋商文件的所有内容，按照磋商文件的要求提交磋商响应文件，并对所提供的全部资料的真实性承担法律责任。</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8.2▲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24" w:name="_Toc17801"/>
      <w:bookmarkStart w:id="25" w:name="_Toc391380571"/>
      <w:bookmarkStart w:id="26" w:name="_Toc356371434"/>
      <w:bookmarkStart w:id="27" w:name="_Toc387928021"/>
      <w:r>
        <w:rPr>
          <w:rFonts w:hint="eastAsia" w:ascii="宋体" w:hAnsi="宋体" w:cs="宋体"/>
          <w:bCs/>
          <w:color w:val="auto"/>
          <w:szCs w:val="21"/>
          <w:highlight w:val="none"/>
        </w:rPr>
        <w:t>三、磋商文件说明</w:t>
      </w:r>
      <w:bookmarkEnd w:id="24"/>
      <w:bookmarkEnd w:id="25"/>
      <w:bookmarkEnd w:id="26"/>
      <w:bookmarkEnd w:id="27"/>
    </w:p>
    <w:p>
      <w:pPr>
        <w:numPr>
          <w:ilvl w:val="1"/>
          <w:numId w:val="13"/>
        </w:num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磋商文件的组成</w:t>
      </w:r>
    </w:p>
    <w:p>
      <w:pPr>
        <w:numPr>
          <w:ilvl w:val="2"/>
          <w:numId w:val="13"/>
        </w:numPr>
        <w:snapToGrid w:val="0"/>
        <w:spacing w:line="312" w:lineRule="auto"/>
        <w:ind w:left="105" w:leftChars="50" w:firstLine="325" w:firstLineChars="155"/>
        <w:rPr>
          <w:rFonts w:hint="eastAsia" w:ascii="宋体" w:hAnsi="宋体" w:cs="宋体"/>
          <w:color w:val="auto"/>
          <w:szCs w:val="21"/>
          <w:highlight w:val="none"/>
        </w:rPr>
      </w:pPr>
      <w:r>
        <w:rPr>
          <w:rFonts w:hint="eastAsia" w:ascii="宋体" w:hAnsi="宋体" w:cs="宋体"/>
          <w:color w:val="auto"/>
          <w:szCs w:val="21"/>
          <w:highlight w:val="none"/>
        </w:rPr>
        <w:t>竞争性磋商公告；</w:t>
      </w:r>
    </w:p>
    <w:p>
      <w:pPr>
        <w:numPr>
          <w:ilvl w:val="2"/>
          <w:numId w:val="13"/>
        </w:numPr>
        <w:snapToGrid w:val="0"/>
        <w:spacing w:line="312" w:lineRule="auto"/>
        <w:ind w:left="105" w:leftChars="50" w:firstLine="325" w:firstLineChars="155"/>
        <w:rPr>
          <w:rFonts w:hint="eastAsia" w:ascii="宋体" w:hAnsi="宋体" w:cs="宋体"/>
          <w:color w:val="auto"/>
          <w:szCs w:val="21"/>
          <w:highlight w:val="none"/>
        </w:rPr>
      </w:pPr>
      <w:r>
        <w:rPr>
          <w:rFonts w:hint="eastAsia" w:ascii="宋体" w:hAnsi="宋体" w:cs="宋体"/>
          <w:color w:val="auto"/>
          <w:szCs w:val="21"/>
          <w:highlight w:val="none"/>
        </w:rPr>
        <w:t>投标须知前附表及投标须知；</w:t>
      </w:r>
    </w:p>
    <w:p>
      <w:pPr>
        <w:numPr>
          <w:ilvl w:val="2"/>
          <w:numId w:val="13"/>
        </w:numPr>
        <w:snapToGrid w:val="0"/>
        <w:spacing w:line="312" w:lineRule="auto"/>
        <w:ind w:left="105" w:leftChars="50" w:firstLine="325" w:firstLineChars="155"/>
        <w:rPr>
          <w:rFonts w:hint="eastAsia" w:ascii="宋体" w:hAnsi="宋体" w:cs="宋体"/>
          <w:color w:val="auto"/>
          <w:szCs w:val="21"/>
          <w:highlight w:val="none"/>
        </w:rPr>
      </w:pPr>
      <w:r>
        <w:rPr>
          <w:rFonts w:hint="eastAsia" w:ascii="宋体" w:hAnsi="宋体" w:cs="宋体"/>
          <w:color w:val="auto"/>
          <w:szCs w:val="21"/>
          <w:highlight w:val="none"/>
        </w:rPr>
        <w:t>采购内容及要求；</w:t>
      </w:r>
    </w:p>
    <w:p>
      <w:pPr>
        <w:numPr>
          <w:ilvl w:val="2"/>
          <w:numId w:val="13"/>
        </w:numPr>
        <w:snapToGrid w:val="0"/>
        <w:spacing w:line="312" w:lineRule="auto"/>
        <w:ind w:left="105" w:leftChars="50" w:firstLine="325" w:firstLineChars="155"/>
        <w:rPr>
          <w:rFonts w:hint="eastAsia" w:ascii="宋体" w:hAnsi="宋体" w:cs="宋体"/>
          <w:color w:val="auto"/>
          <w:szCs w:val="21"/>
          <w:highlight w:val="none"/>
        </w:rPr>
      </w:pPr>
      <w:r>
        <w:rPr>
          <w:rFonts w:hint="eastAsia" w:ascii="宋体" w:hAnsi="宋体" w:cs="宋体"/>
          <w:color w:val="auto"/>
          <w:szCs w:val="21"/>
          <w:highlight w:val="none"/>
        </w:rPr>
        <w:t>合同主要条款；</w:t>
      </w:r>
    </w:p>
    <w:p>
      <w:pPr>
        <w:numPr>
          <w:ilvl w:val="2"/>
          <w:numId w:val="13"/>
        </w:numPr>
        <w:snapToGrid w:val="0"/>
        <w:spacing w:line="312" w:lineRule="auto"/>
        <w:ind w:left="105" w:leftChars="50" w:firstLine="325" w:firstLineChars="155"/>
        <w:rPr>
          <w:rFonts w:hint="eastAsia" w:ascii="宋体" w:hAnsi="宋体" w:cs="宋体"/>
          <w:color w:val="auto"/>
          <w:szCs w:val="21"/>
          <w:highlight w:val="none"/>
        </w:rPr>
      </w:pPr>
      <w:r>
        <w:rPr>
          <w:rFonts w:hint="eastAsia" w:ascii="宋体" w:hAnsi="宋体" w:cs="宋体"/>
          <w:color w:val="auto"/>
          <w:szCs w:val="21"/>
          <w:highlight w:val="none"/>
        </w:rPr>
        <w:t>评标办法及开评标程序；</w:t>
      </w:r>
    </w:p>
    <w:p>
      <w:pPr>
        <w:numPr>
          <w:ilvl w:val="2"/>
          <w:numId w:val="13"/>
        </w:numPr>
        <w:snapToGrid w:val="0"/>
        <w:spacing w:line="312" w:lineRule="auto"/>
        <w:ind w:left="105" w:leftChars="50" w:firstLine="325" w:firstLineChars="155"/>
        <w:rPr>
          <w:rFonts w:hint="eastAsia" w:ascii="宋体" w:hAnsi="宋体" w:cs="宋体"/>
          <w:color w:val="auto"/>
          <w:szCs w:val="21"/>
          <w:highlight w:val="none"/>
        </w:rPr>
      </w:pPr>
      <w:r>
        <w:rPr>
          <w:rFonts w:hint="eastAsia" w:ascii="宋体" w:hAnsi="宋体" w:cs="宋体"/>
          <w:color w:val="auto"/>
          <w:szCs w:val="21"/>
          <w:highlight w:val="none"/>
        </w:rPr>
        <w:t>应提交的有关格式范例。</w:t>
      </w:r>
    </w:p>
    <w:p>
      <w:pPr>
        <w:snapToGrid w:val="0"/>
        <w:spacing w:line="312" w:lineRule="auto"/>
        <w:ind w:left="5" w:firstLine="424" w:firstLineChars="202"/>
        <w:rPr>
          <w:rFonts w:hint="eastAsia" w:ascii="宋体" w:hAnsi="宋体" w:cs="宋体"/>
          <w:color w:val="auto"/>
          <w:szCs w:val="21"/>
          <w:highlight w:val="none"/>
        </w:rPr>
      </w:pPr>
      <w:r>
        <w:rPr>
          <w:rFonts w:hint="eastAsia" w:ascii="宋体" w:hAnsi="宋体" w:cs="宋体"/>
          <w:color w:val="auto"/>
          <w:szCs w:val="21"/>
          <w:highlight w:val="none"/>
        </w:rPr>
        <w:t>9.7除上条9.1内容外，采购人在规定的时间前，以书面形式发出的对磋商文件的澄清或修改内容，均为磋商文件的组成部分。</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28" w:name="_Toc11074"/>
      <w:r>
        <w:rPr>
          <w:rFonts w:hint="eastAsia" w:ascii="宋体" w:hAnsi="宋体" w:cs="宋体"/>
          <w:bCs/>
          <w:color w:val="auto"/>
          <w:szCs w:val="21"/>
          <w:highlight w:val="none"/>
        </w:rPr>
        <w:t>四、磋商文件的澄清及修改</w:t>
      </w:r>
      <w:bookmarkEnd w:id="28"/>
    </w:p>
    <w:p>
      <w:pPr>
        <w:pStyle w:val="24"/>
        <w:spacing w:line="312" w:lineRule="auto"/>
        <w:ind w:left="5" w:firstLine="424" w:firstLineChars="202"/>
        <w:rPr>
          <w:rFonts w:hint="eastAsia" w:ascii="宋体" w:hAnsi="宋体" w:cs="宋体"/>
          <w:color w:val="auto"/>
          <w:sz w:val="21"/>
          <w:szCs w:val="21"/>
          <w:highlight w:val="none"/>
        </w:rPr>
      </w:pPr>
      <w:r>
        <w:rPr>
          <w:rFonts w:hint="eastAsia" w:ascii="宋体" w:hAnsi="宋体" w:cs="宋体"/>
          <w:color w:val="auto"/>
          <w:sz w:val="21"/>
          <w:szCs w:val="21"/>
          <w:highlight w:val="none"/>
        </w:rPr>
        <w:t>10.1投标人若对磋商文件有任何疑问，要求澄清或认为有必要与采购人进行技术交流时，应用书面形式送至采购人，但是采购人收到该通知的时间一般不迟于提交磋商响应文件截止时前</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日，采购人将以书面形式作出答复予以澄清，并应将答复内容在采购公告原发布媒体上发布。</w:t>
      </w:r>
    </w:p>
    <w:p>
      <w:pPr>
        <w:pStyle w:val="24"/>
        <w:spacing w:line="312" w:lineRule="auto"/>
        <w:ind w:left="5" w:firstLine="424" w:firstLineChars="202"/>
        <w:rPr>
          <w:rFonts w:hint="eastAsia" w:ascii="宋体" w:hAnsi="宋体" w:cs="宋体"/>
          <w:color w:val="auto"/>
          <w:sz w:val="21"/>
          <w:szCs w:val="21"/>
          <w:highlight w:val="none"/>
        </w:rPr>
      </w:pPr>
      <w:r>
        <w:rPr>
          <w:rFonts w:hint="eastAsia" w:ascii="宋体" w:hAnsi="宋体" w:cs="宋体"/>
          <w:color w:val="auto"/>
          <w:sz w:val="21"/>
          <w:szCs w:val="21"/>
          <w:highlight w:val="none"/>
        </w:rPr>
        <w:t>10.2磋商文件发出后，采购人可用补充文件的方式对已发出的磋商文件进行必要的澄清或修改。补充文件是磋商文件的组成部分，对所有投标人有约束力。</w:t>
      </w:r>
    </w:p>
    <w:p>
      <w:pPr>
        <w:pStyle w:val="24"/>
        <w:spacing w:line="312" w:lineRule="auto"/>
        <w:ind w:left="5" w:firstLine="424" w:firstLineChars="202"/>
        <w:rPr>
          <w:rFonts w:hint="eastAsia" w:ascii="宋体" w:hAnsi="宋体" w:cs="宋体"/>
          <w:color w:val="auto"/>
          <w:sz w:val="21"/>
          <w:szCs w:val="21"/>
          <w:highlight w:val="none"/>
        </w:rPr>
      </w:pPr>
      <w:r>
        <w:rPr>
          <w:rFonts w:hint="eastAsia" w:ascii="宋体" w:hAnsi="宋体" w:cs="宋体"/>
          <w:color w:val="auto"/>
          <w:sz w:val="21"/>
          <w:szCs w:val="21"/>
          <w:highlight w:val="none"/>
        </w:rPr>
        <w:t>10.3为使投标人在编制磋商响应文件时有充分的时间对磋商文件的澄清、修改、补充等内容进行研究，采购人可以酌情延长提交磋商响应文件的截止时间，具体时间将在磋商文件的修改、补充通知中予以明确。</w:t>
      </w:r>
    </w:p>
    <w:p>
      <w:pPr>
        <w:pStyle w:val="24"/>
        <w:spacing w:line="312" w:lineRule="auto"/>
        <w:ind w:left="5" w:firstLine="424" w:firstLineChars="202"/>
        <w:rPr>
          <w:rFonts w:hint="eastAsia" w:ascii="宋体" w:hAnsi="宋体" w:cs="宋体"/>
          <w:color w:val="auto"/>
          <w:sz w:val="21"/>
          <w:szCs w:val="21"/>
          <w:highlight w:val="none"/>
        </w:rPr>
      </w:pPr>
      <w:r>
        <w:rPr>
          <w:rFonts w:hint="eastAsia" w:ascii="宋体" w:hAnsi="宋体" w:cs="宋体"/>
          <w:color w:val="auto"/>
          <w:sz w:val="21"/>
          <w:szCs w:val="21"/>
          <w:highlight w:val="none"/>
        </w:rPr>
        <w:t>10.4投标人在收到磋商文件澄清、修改通知或推迟投标截止时间和开标时间通知后，应在通知单回执上签署意见并盖上投标人单位公章，在1个工作日内以书面或传真形式回复采购人，逾期回复视为默认收到通知。</w:t>
      </w:r>
    </w:p>
    <w:p>
      <w:pPr>
        <w:pStyle w:val="24"/>
        <w:spacing w:line="312" w:lineRule="auto"/>
        <w:ind w:left="5" w:firstLine="424" w:firstLineChars="202"/>
        <w:rPr>
          <w:rFonts w:hint="eastAsia" w:ascii="宋体" w:hAnsi="宋体" w:cs="宋体"/>
          <w:color w:val="auto"/>
          <w:sz w:val="21"/>
          <w:szCs w:val="21"/>
          <w:highlight w:val="none"/>
        </w:rPr>
      </w:pPr>
      <w:r>
        <w:rPr>
          <w:rFonts w:hint="eastAsia" w:ascii="宋体" w:hAnsi="宋体" w:cs="宋体"/>
          <w:color w:val="auto"/>
          <w:sz w:val="21"/>
          <w:szCs w:val="21"/>
          <w:highlight w:val="none"/>
        </w:rPr>
        <w:t>10.5磋商文件的澄清、修改、补充等内容均以书面形式明确的内容为准。当磋商文件、磋商文件的澄清、修改、补充等在同一内容的表述上不一致时，以最后发出的书面文件为准。</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29" w:name="_Toc387928022"/>
      <w:bookmarkStart w:id="30" w:name="_Toc391380572"/>
      <w:bookmarkStart w:id="31" w:name="_Toc356371435"/>
      <w:bookmarkStart w:id="32" w:name="_Toc15181"/>
      <w:r>
        <w:rPr>
          <w:rFonts w:hint="eastAsia" w:ascii="宋体" w:hAnsi="宋体" w:cs="宋体"/>
          <w:bCs/>
          <w:color w:val="auto"/>
          <w:szCs w:val="21"/>
          <w:highlight w:val="none"/>
        </w:rPr>
        <w:t>五、磋商响应文件的编制</w:t>
      </w:r>
      <w:bookmarkEnd w:id="29"/>
      <w:bookmarkEnd w:id="30"/>
      <w:bookmarkEnd w:id="31"/>
      <w:bookmarkEnd w:id="32"/>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33" w:name="_Toc20814"/>
      <w:bookmarkStart w:id="34" w:name="_Toc27451"/>
      <w:bookmarkStart w:id="35" w:name="_Toc20829"/>
      <w:r>
        <w:rPr>
          <w:rFonts w:hint="eastAsia" w:ascii="宋体" w:hAnsi="宋体" w:cs="宋体"/>
          <w:bCs/>
          <w:color w:val="auto"/>
          <w:szCs w:val="21"/>
          <w:highlight w:val="none"/>
        </w:rPr>
        <w:t>11.总体要求</w:t>
      </w:r>
      <w:bookmarkEnd w:id="33"/>
      <w:bookmarkEnd w:id="34"/>
      <w:bookmarkEnd w:id="35"/>
    </w:p>
    <w:p>
      <w:p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11.1仔细阅读磋商文件的所有内容，按本文件的要求提供磋商响应文件，并保证所提供的全部资料的真实性，以使其磋商响应文件对磋商文件作出实质性响应，</w:t>
      </w:r>
      <w:r>
        <w:rPr>
          <w:rFonts w:hint="eastAsia" w:ascii="宋体" w:hAnsi="宋体" w:cs="宋体"/>
          <w:bCs/>
          <w:color w:val="auto"/>
          <w:kern w:val="0"/>
          <w:szCs w:val="21"/>
          <w:highlight w:val="none"/>
        </w:rPr>
        <w:t>否则，磋商响应文件可能被视为无效磋商响应文件</w:t>
      </w:r>
      <w:r>
        <w:rPr>
          <w:rFonts w:hint="eastAsia" w:ascii="宋体" w:hAnsi="宋体" w:cs="宋体"/>
          <w:bCs/>
          <w:color w:val="auto"/>
          <w:szCs w:val="21"/>
          <w:highlight w:val="none"/>
        </w:rPr>
        <w:t>。</w:t>
      </w:r>
    </w:p>
    <w:p>
      <w:p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11.2投标人与采购有关的来往通知，函件和文件均应使用规范中文。</w:t>
      </w:r>
    </w:p>
    <w:p>
      <w:p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11.3所涉及的数据（除非技术规范中另有规定）均应采用中华人民共和国法定计量单位。</w:t>
      </w:r>
    </w:p>
    <w:p>
      <w:p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11.4按本文件中提供的文件格式、内容和要求制作磋商响应文件。磋商响应文件应装订成册。</w:t>
      </w:r>
    </w:p>
    <w:p>
      <w:p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12.磋商响应文件的组成及份数</w:t>
      </w:r>
    </w:p>
    <w:p>
      <w:pPr>
        <w:tabs>
          <w:tab w:val="left" w:pos="0"/>
          <w:tab w:val="left" w:pos="900"/>
          <w:tab w:val="left" w:pos="7020"/>
          <w:tab w:val="left" w:pos="8460"/>
        </w:tabs>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▲磋商响应文件由【资信技术文件】和【报价文件】两部分组成。各提供正本壹份、副本</w:t>
      </w:r>
      <w:r>
        <w:rPr>
          <w:rFonts w:hint="eastAsia" w:ascii="宋体" w:hAnsi="宋体" w:cs="宋体"/>
          <w:bCs/>
          <w:color w:val="auto"/>
          <w:szCs w:val="21"/>
          <w:highlight w:val="none"/>
          <w:lang w:val="en-US" w:eastAsia="zh-CN"/>
        </w:rPr>
        <w:t>贰</w:t>
      </w:r>
      <w:r>
        <w:rPr>
          <w:rFonts w:hint="eastAsia" w:ascii="宋体" w:hAnsi="宋体" w:cs="宋体"/>
          <w:bCs/>
          <w:color w:val="auto"/>
          <w:szCs w:val="21"/>
          <w:highlight w:val="none"/>
        </w:rPr>
        <w:t>份。</w:t>
      </w:r>
    </w:p>
    <w:p>
      <w:p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【资信技术文件】主要内容：</w:t>
      </w:r>
    </w:p>
    <w:p>
      <w:p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12.1【资信部分】（涉及资信的材料原件（含证明材料原件）均须带至开标现场备查）</w:t>
      </w:r>
    </w:p>
    <w:p>
      <w:p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12.1.1自评分表；</w:t>
      </w:r>
    </w:p>
    <w:p>
      <w:pPr>
        <w:snapToGrid w:val="0"/>
        <w:spacing w:line="312" w:lineRule="auto"/>
        <w:ind w:firstLine="420" w:firstLineChars="200"/>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12.1.2投标人有效的包括企业营业执照</w:t>
      </w:r>
      <w:r>
        <w:rPr>
          <w:rFonts w:hint="eastAsia" w:ascii="宋体" w:hAnsi="宋体" w:cs="宋体"/>
          <w:bCs/>
          <w:color w:val="auto"/>
          <w:szCs w:val="21"/>
          <w:highlight w:val="none"/>
          <w:lang w:eastAsia="zh-CN"/>
        </w:rPr>
        <w:t>；</w:t>
      </w:r>
    </w:p>
    <w:p>
      <w:p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lang w:val="en-US" w:eastAsia="zh-CN"/>
        </w:rPr>
        <w:t>12.1.3投标人有效的《食品经营许可证》</w:t>
      </w:r>
      <w:r>
        <w:rPr>
          <w:rFonts w:hint="eastAsia" w:ascii="宋体" w:hAnsi="宋体" w:cs="宋体"/>
          <w:bCs/>
          <w:color w:val="auto"/>
          <w:szCs w:val="21"/>
          <w:highlight w:val="none"/>
        </w:rPr>
        <w:t xml:space="preserve">； </w:t>
      </w:r>
    </w:p>
    <w:p>
      <w:p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12.1.</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法人授权委托书复印件（原件与磋商响应文件一起递交）；</w:t>
      </w:r>
    </w:p>
    <w:p>
      <w:p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12.1.</w:t>
      </w:r>
      <w:r>
        <w:rPr>
          <w:rFonts w:hint="eastAsia" w:ascii="宋体" w:hAnsi="宋体" w:cs="宋体"/>
          <w:bCs/>
          <w:color w:val="auto"/>
          <w:szCs w:val="21"/>
          <w:highlight w:val="none"/>
          <w:lang w:val="en-US" w:eastAsia="zh-CN"/>
        </w:rPr>
        <w:t>5</w:t>
      </w:r>
      <w:r>
        <w:rPr>
          <w:rFonts w:hint="eastAsia" w:ascii="宋体" w:hAnsi="宋体" w:cs="宋体"/>
          <w:bCs/>
          <w:color w:val="auto"/>
          <w:szCs w:val="21"/>
          <w:highlight w:val="none"/>
        </w:rPr>
        <w:t>法定代表人或法人授权代表身份证复印件；</w:t>
      </w:r>
    </w:p>
    <w:p>
      <w:p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12.1.</w:t>
      </w:r>
      <w:r>
        <w:rPr>
          <w:rFonts w:hint="eastAsia" w:ascii="宋体" w:hAnsi="宋体" w:cs="宋体"/>
          <w:bCs/>
          <w:color w:val="auto"/>
          <w:szCs w:val="21"/>
          <w:highlight w:val="none"/>
          <w:lang w:val="en-US" w:eastAsia="zh-CN"/>
        </w:rPr>
        <w:t>6</w:t>
      </w:r>
      <w:r>
        <w:rPr>
          <w:rFonts w:hint="eastAsia" w:ascii="宋体" w:hAnsi="宋体" w:cs="宋体"/>
          <w:color w:val="auto"/>
          <w:szCs w:val="21"/>
          <w:highlight w:val="none"/>
        </w:rPr>
        <w:t>无不良信用记录的证明材料【信用中国网站“失信被执行人”“重大税收违法案件当事人” 名单查询结果以网页截图方式留存；中国政府采购网“政府采购严重违法失信行为记录名单”查询结果以网页截图方式留存】；</w:t>
      </w:r>
    </w:p>
    <w:p>
      <w:p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12.1.</w:t>
      </w:r>
      <w:r>
        <w:rPr>
          <w:rFonts w:hint="eastAsia" w:ascii="宋体" w:hAnsi="宋体" w:cs="宋体"/>
          <w:bCs/>
          <w:color w:val="auto"/>
          <w:szCs w:val="21"/>
          <w:highlight w:val="none"/>
          <w:lang w:val="en-US" w:eastAsia="zh-CN"/>
        </w:rPr>
        <w:t>7</w:t>
      </w:r>
      <w:r>
        <w:rPr>
          <w:rFonts w:hint="eastAsia" w:ascii="宋体" w:hAnsi="宋体" w:cs="宋体"/>
          <w:bCs/>
          <w:color w:val="auto"/>
          <w:szCs w:val="21"/>
          <w:highlight w:val="none"/>
        </w:rPr>
        <w:t>投标人认为需要递交的其他资信资料。</w:t>
      </w:r>
    </w:p>
    <w:p>
      <w:p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12.2【技术部分】（未注明复印件的，应为原件。）</w:t>
      </w:r>
    </w:p>
    <w:p>
      <w:pPr>
        <w:snapToGrid w:val="0"/>
        <w:spacing w:line="312" w:lineRule="auto"/>
        <w:ind w:left="3" w:firstLine="415" w:firstLineChars="198"/>
        <w:rPr>
          <w:rFonts w:hint="eastAsia" w:ascii="宋体" w:hAnsi="宋体" w:cs="宋体"/>
          <w:color w:val="auto"/>
          <w:szCs w:val="21"/>
          <w:highlight w:val="none"/>
          <w:lang w:eastAsia="zh-CN"/>
        </w:rPr>
      </w:pPr>
      <w:r>
        <w:rPr>
          <w:rFonts w:hint="eastAsia" w:ascii="宋体" w:hAnsi="宋体" w:cs="宋体"/>
          <w:color w:val="auto"/>
          <w:szCs w:val="21"/>
          <w:highlight w:val="none"/>
          <w:lang w:val="en-US" w:eastAsia="zh-CN"/>
        </w:rPr>
        <w:t>12.2.1</w:t>
      </w:r>
      <w:r>
        <w:rPr>
          <w:rFonts w:hint="eastAsia" w:ascii="宋体" w:hAnsi="宋体" w:cs="宋体"/>
          <w:color w:val="auto"/>
          <w:szCs w:val="21"/>
          <w:highlight w:val="none"/>
          <w:lang w:eastAsia="zh-CN"/>
        </w:rPr>
        <w:t>投标人检测设备、人员、配送车辆等证明材料；</w:t>
      </w:r>
    </w:p>
    <w:p>
      <w:pPr>
        <w:snapToGrid w:val="0"/>
        <w:spacing w:line="312" w:lineRule="auto"/>
        <w:ind w:left="3" w:firstLine="415" w:firstLineChars="198"/>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12.2.</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投标人体系认证证书等证明材料；</w:t>
      </w:r>
    </w:p>
    <w:p>
      <w:pPr>
        <w:snapToGrid w:val="0"/>
        <w:spacing w:line="312" w:lineRule="auto"/>
        <w:ind w:left="3" w:firstLine="415" w:firstLineChars="198"/>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12.2.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▲投标人单位情况表（详见附件），包括情况简介及服务优势，企业管理机构、制度建设情况等相关资料和说明；</w:t>
      </w:r>
    </w:p>
    <w:p>
      <w:pPr>
        <w:snapToGrid w:val="0"/>
        <w:spacing w:line="312" w:lineRule="auto"/>
        <w:ind w:left="3" w:firstLine="415" w:firstLineChars="198"/>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12.2.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▲配送方案（距招标人最近的服务网点的详细介绍，包括人员配送力量、服务内容；供货时效承诺；供货质量保证承诺等）；</w:t>
      </w:r>
    </w:p>
    <w:p>
      <w:pPr>
        <w:snapToGrid w:val="0"/>
        <w:spacing w:line="312" w:lineRule="auto"/>
        <w:ind w:left="3" w:firstLine="415" w:firstLineChars="198"/>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12.2.5售后服务措施及承诺的陈述；</w:t>
      </w:r>
    </w:p>
    <w:p>
      <w:pPr>
        <w:snapToGrid w:val="0"/>
        <w:spacing w:line="312" w:lineRule="auto"/>
        <w:ind w:left="3" w:firstLine="415" w:firstLineChars="198"/>
        <w:rPr>
          <w:rFonts w:hint="eastAsia" w:ascii="宋体" w:hAnsi="宋体" w:cs="宋体"/>
          <w:color w:val="auto"/>
          <w:szCs w:val="21"/>
          <w:highlight w:val="none"/>
        </w:rPr>
      </w:pPr>
      <w:r>
        <w:rPr>
          <w:rFonts w:hint="eastAsia" w:ascii="宋体" w:hAnsi="宋体" w:cs="宋体"/>
          <w:color w:val="auto"/>
          <w:szCs w:val="21"/>
          <w:highlight w:val="none"/>
          <w:lang w:val="en-US" w:eastAsia="zh-CN"/>
        </w:rPr>
        <w:t>12.2.6</w:t>
      </w:r>
      <w:r>
        <w:rPr>
          <w:rFonts w:hint="eastAsia" w:ascii="宋体" w:hAnsi="宋体" w:cs="宋体"/>
          <w:color w:val="auto"/>
          <w:szCs w:val="21"/>
          <w:highlight w:val="none"/>
        </w:rPr>
        <w:t>投标人认为需要递交的其他技术资料。</w:t>
      </w:r>
    </w:p>
    <w:p>
      <w:pPr>
        <w:snapToGrid w:val="0"/>
        <w:spacing w:line="312" w:lineRule="auto"/>
        <w:ind w:left="3" w:firstLine="415" w:firstLineChars="198"/>
        <w:rPr>
          <w:rFonts w:hint="eastAsia" w:ascii="宋体" w:hAnsi="宋体" w:cs="宋体"/>
          <w:color w:val="auto"/>
          <w:szCs w:val="21"/>
          <w:highlight w:val="none"/>
        </w:rPr>
      </w:pPr>
      <w:r>
        <w:rPr>
          <w:rFonts w:hint="eastAsia" w:ascii="宋体" w:hAnsi="宋体" w:cs="宋体"/>
          <w:color w:val="auto"/>
          <w:szCs w:val="21"/>
          <w:highlight w:val="none"/>
        </w:rPr>
        <w:t>12.3【报价文件】主要内容</w:t>
      </w:r>
    </w:p>
    <w:p>
      <w:pPr>
        <w:snapToGrid w:val="0"/>
        <w:spacing w:line="312" w:lineRule="auto"/>
        <w:ind w:firstLine="420" w:firstLineChars="200"/>
        <w:rPr>
          <w:rFonts w:hint="eastAsia"/>
          <w:color w:val="auto"/>
          <w:highlight w:val="none"/>
        </w:rPr>
      </w:pPr>
      <w:r>
        <w:rPr>
          <w:rFonts w:hint="eastAsia" w:ascii="宋体" w:hAnsi="宋体" w:cs="宋体"/>
          <w:color w:val="auto"/>
          <w:szCs w:val="21"/>
          <w:highlight w:val="none"/>
        </w:rPr>
        <w:t>12.3.1开标一览表；</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12.3.2《中小企业声明函》；</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12.3.</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监狱和戒毒企业应提供由省级以上监狱管理局、戒毒管理局（含新疆生产建设兵团）出具的属于监狱企业的证明文件；</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GB"/>
        </w:rPr>
        <w:t>12.3.</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val="en-GB"/>
        </w:rPr>
        <w:t>《产品适用</w:t>
      </w:r>
      <w:r>
        <w:rPr>
          <w:rFonts w:hint="eastAsia" w:ascii="宋体" w:hAnsi="宋体" w:cs="宋体"/>
          <w:color w:val="auto"/>
          <w:szCs w:val="21"/>
          <w:highlight w:val="none"/>
        </w:rPr>
        <w:t>监狱和戒毒企业</w:t>
      </w:r>
      <w:r>
        <w:rPr>
          <w:rFonts w:hint="eastAsia" w:ascii="宋体" w:hAnsi="宋体" w:cs="宋体"/>
          <w:color w:val="auto"/>
          <w:szCs w:val="21"/>
          <w:highlight w:val="none"/>
          <w:lang w:val="en-GB"/>
        </w:rPr>
        <w:t>政策情况表》；</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12.3.</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残疾人福利性单位应提供残疾人福利性单位声明函；</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GB"/>
        </w:rPr>
        <w:t>12.3.</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val="en-GB"/>
        </w:rPr>
        <w:t>《产品适用</w:t>
      </w:r>
      <w:r>
        <w:rPr>
          <w:rFonts w:hint="eastAsia" w:ascii="宋体" w:hAnsi="宋体" w:cs="宋体"/>
          <w:color w:val="auto"/>
          <w:szCs w:val="21"/>
          <w:highlight w:val="none"/>
        </w:rPr>
        <w:t>残疾人福利性单位</w:t>
      </w:r>
      <w:r>
        <w:rPr>
          <w:rFonts w:hint="eastAsia" w:ascii="宋体" w:hAnsi="宋体" w:cs="宋体"/>
          <w:color w:val="auto"/>
          <w:szCs w:val="21"/>
          <w:highlight w:val="none"/>
          <w:lang w:val="en-GB"/>
        </w:rPr>
        <w:t>政策情况表》；</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12.3.</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投标人认为需要提供的其他商务资料。</w:t>
      </w:r>
    </w:p>
    <w:p>
      <w:pPr>
        <w:snapToGrid w:val="0"/>
        <w:spacing w:line="312" w:lineRule="auto"/>
        <w:ind w:left="3" w:firstLine="424" w:firstLineChars="202"/>
        <w:rPr>
          <w:rFonts w:hint="eastAsia" w:ascii="宋体" w:hAnsi="宋体" w:cs="宋体"/>
          <w:color w:val="auto"/>
          <w:szCs w:val="21"/>
          <w:highlight w:val="none"/>
        </w:rPr>
      </w:pPr>
      <w:r>
        <w:rPr>
          <w:rFonts w:hint="eastAsia" w:ascii="宋体" w:hAnsi="宋体" w:cs="宋体"/>
          <w:color w:val="auto"/>
          <w:szCs w:val="21"/>
          <w:highlight w:val="none"/>
        </w:rPr>
        <w:t>12.4 以上所需的各种证书、证件、证明、执照须在复印件上加盖有效公章，未提供格式的格式自拟。</w:t>
      </w:r>
    </w:p>
    <w:p>
      <w:pPr>
        <w:numPr>
          <w:ilvl w:val="0"/>
          <w:numId w:val="0"/>
        </w:numPr>
        <w:snapToGrid w:val="0"/>
        <w:spacing w:line="312" w:lineRule="auto"/>
        <w:ind w:leftChars="200"/>
        <w:rPr>
          <w:rFonts w:hint="eastAsia" w:ascii="宋体" w:hAnsi="宋体" w:eastAsia="宋体" w:cs="宋体"/>
          <w:b/>
          <w:bCs/>
          <w:sz w:val="21"/>
          <w:szCs w:val="21"/>
          <w:highlight w:val="none"/>
        </w:rPr>
      </w:pPr>
      <w:r>
        <w:rPr>
          <w:rFonts w:hint="eastAsia" w:ascii="宋体" w:hAnsi="宋体" w:cs="宋体"/>
          <w:color w:val="auto"/>
          <w:sz w:val="21"/>
          <w:szCs w:val="21"/>
          <w:highlight w:val="none"/>
        </w:rPr>
        <w:t>12.5</w:t>
      </w:r>
      <w:r>
        <w:rPr>
          <w:rFonts w:hint="eastAsia" w:ascii="宋体" w:hAnsi="宋体" w:cs="宋体"/>
          <w:color w:val="auto"/>
          <w:szCs w:val="21"/>
          <w:highlight w:val="none"/>
        </w:rPr>
        <w:t>投标报价</w:t>
      </w:r>
    </w:p>
    <w:p>
      <w:pPr>
        <w:numPr>
          <w:ilvl w:val="0"/>
          <w:numId w:val="0"/>
        </w:numPr>
        <w:snapToGrid w:val="0"/>
        <w:spacing w:line="312" w:lineRule="auto"/>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▲本次投标设最高限价，投标报价下浮率不得低于</w:t>
      </w:r>
      <w:r>
        <w:rPr>
          <w:rFonts w:hint="eastAsia" w:ascii="宋体" w:hAnsi="宋体" w:cs="宋体"/>
          <w:b/>
          <w:bCs/>
          <w:sz w:val="21"/>
          <w:szCs w:val="21"/>
          <w:highlight w:val="none"/>
          <w:lang w:val="en-US" w:eastAsia="zh-CN"/>
        </w:rPr>
        <w:t>28</w:t>
      </w:r>
      <w:r>
        <w:rPr>
          <w:rFonts w:hint="eastAsia" w:ascii="宋体" w:hAnsi="宋体" w:eastAsia="宋体" w:cs="宋体"/>
          <w:b/>
          <w:bCs/>
          <w:sz w:val="21"/>
          <w:szCs w:val="21"/>
          <w:highlight w:val="none"/>
        </w:rPr>
        <w:t>%，报价超出限价的，为无效投标文件。</w:t>
      </w:r>
    </w:p>
    <w:p>
      <w:pPr>
        <w:pStyle w:val="2"/>
        <w:keepNext w:val="0"/>
        <w:keepLines w:val="0"/>
        <w:pageBreakBefore w:val="0"/>
        <w:widowControl w:val="0"/>
        <w:kinsoku/>
        <w:wordWrap/>
        <w:overflowPunct/>
        <w:topLinePunct w:val="0"/>
        <w:autoSpaceDE/>
        <w:autoSpaceDN/>
        <w:bidi w:val="0"/>
        <w:adjustRightInd/>
        <w:snapToGrid/>
        <w:ind w:firstLine="50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最终结算供货单价=询价单价*（1-投标报价下浮率），数量按实结算。</w:t>
      </w:r>
    </w:p>
    <w:p>
      <w:pPr>
        <w:pStyle w:val="2"/>
        <w:keepNext w:val="0"/>
        <w:keepLines w:val="0"/>
        <w:pageBreakBefore w:val="0"/>
        <w:widowControl w:val="0"/>
        <w:kinsoku/>
        <w:wordWrap/>
        <w:overflowPunct/>
        <w:topLinePunct w:val="0"/>
        <w:autoSpaceDE/>
        <w:autoSpaceDN/>
        <w:bidi w:val="0"/>
        <w:adjustRightInd/>
        <w:snapToGrid/>
        <w:ind w:firstLine="500" w:firstLineChars="200"/>
        <w:textAlignment w:val="auto"/>
        <w:rPr>
          <w:rFonts w:hint="eastAsia" w:ascii="宋体" w:hAnsi="宋体" w:eastAsia="宋体" w:cs="宋体"/>
          <w:b w:val="0"/>
          <w:bCs w:val="0"/>
          <w:color w:val="FF0000"/>
          <w:sz w:val="21"/>
          <w:szCs w:val="21"/>
          <w:highlight w:val="none"/>
        </w:rPr>
      </w:pPr>
      <w:r>
        <w:rPr>
          <w:rFonts w:hint="eastAsia" w:ascii="宋体" w:hAnsi="宋体" w:eastAsia="宋体" w:cs="宋体"/>
          <w:b w:val="0"/>
          <w:bCs w:val="0"/>
          <w:color w:val="FF0000"/>
          <w:sz w:val="21"/>
          <w:szCs w:val="21"/>
          <w:highlight w:val="none"/>
        </w:rPr>
        <w:t>询价单价：</w:t>
      </w:r>
      <w:r>
        <w:rPr>
          <w:rFonts w:hint="eastAsia" w:ascii="宋体" w:hAnsi="宋体" w:eastAsia="宋体" w:cs="宋体"/>
          <w:b w:val="0"/>
          <w:bCs w:val="0"/>
          <w:color w:val="FF0000"/>
          <w:sz w:val="21"/>
          <w:szCs w:val="21"/>
          <w:highlight w:val="none"/>
          <w:lang w:val="en-US" w:eastAsia="zh-CN"/>
        </w:rPr>
        <w:t>取自南湖菜场、</w:t>
      </w:r>
      <w:r>
        <w:rPr>
          <w:rFonts w:hint="eastAsia" w:ascii="宋体" w:hAnsi="宋体" w:eastAsia="宋体" w:cs="宋体"/>
          <w:b w:val="0"/>
          <w:bCs w:val="0"/>
          <w:color w:val="FF0000"/>
          <w:sz w:val="21"/>
          <w:szCs w:val="21"/>
          <w:highlight w:val="none"/>
        </w:rPr>
        <w:t>大润发超市及衢州市东方超市同类产品零售价</w:t>
      </w:r>
      <w:r>
        <w:rPr>
          <w:rFonts w:hint="eastAsia" w:ascii="宋体" w:hAnsi="宋体" w:eastAsia="宋体" w:cs="宋体"/>
          <w:b w:val="0"/>
          <w:bCs w:val="0"/>
          <w:color w:val="FF0000"/>
          <w:sz w:val="21"/>
          <w:szCs w:val="21"/>
          <w:highlight w:val="none"/>
          <w:lang w:val="en-US" w:eastAsia="zh-CN"/>
        </w:rPr>
        <w:t>的</w:t>
      </w:r>
      <w:r>
        <w:rPr>
          <w:rFonts w:hint="eastAsia" w:ascii="宋体" w:hAnsi="宋体" w:eastAsia="宋体" w:cs="宋体"/>
          <w:b w:val="0"/>
          <w:bCs w:val="0"/>
          <w:color w:val="FF0000"/>
          <w:sz w:val="21"/>
          <w:szCs w:val="21"/>
          <w:highlight w:val="none"/>
        </w:rPr>
        <w:t>平均价格作为询价单价。</w:t>
      </w:r>
    </w:p>
    <w:p>
      <w:pPr>
        <w:keepNext w:val="0"/>
        <w:keepLines w:val="0"/>
        <w:pageBreakBefore w:val="0"/>
        <w:widowControl w:val="0"/>
        <w:numPr>
          <w:ilvl w:val="0"/>
          <w:numId w:val="0"/>
        </w:numPr>
        <w:kinsoku/>
        <w:wordWrap/>
        <w:overflowPunct/>
        <w:topLinePunct w:val="0"/>
        <w:autoSpaceDE/>
        <w:autoSpaceDN/>
        <w:bidi w:val="0"/>
        <w:adjustRightInd/>
        <w:snapToGrid w:val="0"/>
        <w:spacing w:line="312" w:lineRule="auto"/>
        <w:ind w:leftChars="0" w:firstLine="420" w:firstLineChars="200"/>
        <w:textAlignment w:val="auto"/>
        <w:rPr>
          <w:rFonts w:hint="eastAsia" w:ascii="宋体" w:hAnsi="宋体" w:cs="宋体"/>
          <w:color w:val="auto"/>
          <w:szCs w:val="21"/>
          <w:highlight w:val="none"/>
        </w:rPr>
      </w:pPr>
      <w:r>
        <w:rPr>
          <w:rFonts w:hint="eastAsia" w:ascii="宋体" w:hAnsi="宋体" w:eastAsia="宋体" w:cs="宋体"/>
          <w:b w:val="0"/>
          <w:bCs w:val="0"/>
          <w:sz w:val="21"/>
          <w:szCs w:val="21"/>
          <w:highlight w:val="none"/>
        </w:rPr>
        <w:t>投标人估算错误或漏项的风险均由投标人承担。投标人应按招标文件要求进行报价。</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13.磋商响应文件内容填写说明 </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投标人应在认真阅读磋商文件所有内容的基础上，按照磋商文件的要求编制完整的磋商响应文件。磋商响应文件应按照磋商文件中规定的统一格式填写，严格按照规定的顺序装订成册并编制目录，混乱的编排导致磋商响应文件被误读或磋商小组查找不到有效文件是投标人的风险。</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13.2投标人必须保证磋商响应文件所提供的全部资料真实可靠，并接受采购人对其中任何资料进一步审查的要求。</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13.3磋商响应文件须对磋商文件中的内容做出实质性的和完整的响应，否则其投标将被拒绝。如果磋商响应文件填报的内容资料不详，或没有提供磋商文件中所要求的全部资料及数据，将会导致投标被拒绝。</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13.4磋商文件中有▲处条款为实质性要求条款（即重要条款），对其中任何一条的偏离，在评标时将其视为无效投标；</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13.5磋商响应文件不得涂改和增删，如有错漏必须修改，修改处须由授权代表签字或盖章。</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13.6由于磋商响应文件字迹模糊或表达不清引起的后果由投标人负责。</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14.投标有效期</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14.1▲磋商响应文件从磋商响应文件递交截止之日起，有效期为</w:t>
      </w:r>
      <w:r>
        <w:rPr>
          <w:rFonts w:hint="eastAsia" w:ascii="宋体" w:hAnsi="宋体" w:cs="宋体"/>
          <w:color w:val="auto"/>
          <w:szCs w:val="21"/>
          <w:highlight w:val="none"/>
          <w:u w:val="single"/>
        </w:rPr>
        <w:t>90</w:t>
      </w:r>
      <w:r>
        <w:rPr>
          <w:rFonts w:hint="eastAsia" w:ascii="宋体" w:hAnsi="宋体" w:cs="宋体"/>
          <w:color w:val="auto"/>
          <w:szCs w:val="21"/>
          <w:highlight w:val="none"/>
        </w:rPr>
        <w:t>天；</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14.2特殊情况下，在原磋商响应文件有效期截止之前，采购人可要求投标人同意延长磋商响应文件有效期。这种要求与答复均应以书面形式提交。投标人可拒绝采购人的这种要求，其保证金将不会被没收。接受延长磋商响应文件有效期的投标人将不会被要求和允许修正磋商响应文件。</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36" w:name="_Toc4143"/>
      <w:bookmarkStart w:id="37" w:name="_Toc387928024"/>
      <w:bookmarkStart w:id="38" w:name="_Toc391380574"/>
      <w:r>
        <w:rPr>
          <w:rFonts w:hint="eastAsia" w:ascii="宋体" w:hAnsi="宋体" w:cs="宋体"/>
          <w:bCs/>
          <w:color w:val="auto"/>
          <w:szCs w:val="21"/>
          <w:highlight w:val="none"/>
        </w:rPr>
        <w:t>六、磋商响应文件的签署及规定</w:t>
      </w:r>
      <w:bookmarkEnd w:id="36"/>
      <w:bookmarkEnd w:id="37"/>
      <w:bookmarkEnd w:id="38"/>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15.投标人应按本须知的相关要求准备磋商响应文件，须清楚的标明“资信技术文件”或“报价文件”和“正本”、“副本”。若正本和副本有差异，以正本为准。</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磋商响应文件的正本需打印或用不褪色墨水书写，并由投标人或经正式授权的代表在磋商响应文件上签字或盖章。授权代表须以书面形式出具的“授权委托书”附在磋商响应文件中。文件的副本可采用盖过红章的正本复印。</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17.▲磋商响应文件封面须加盖投标人单位公章。</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18.任何行间插字、涂改和增删，必须由投标人代表签字并加盖公章。</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19.电报、电话、传真形式的磋商响应文件概不接受。</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20.磋商响应文件因字迹潦草或表达不清所引起的后果由投标人负责。</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21.磋商响应文件的密封和标记</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21.1▲投</w:t>
      </w:r>
      <w:r>
        <w:rPr>
          <w:rFonts w:hint="eastAsia" w:ascii="宋体" w:hAnsi="宋体" w:cs="宋体"/>
          <w:color w:val="auto"/>
          <w:spacing w:val="-3"/>
          <w:szCs w:val="21"/>
          <w:highlight w:val="none"/>
        </w:rPr>
        <w:t>标人将资信技术文件和报价文件的正副本分别装袋密封，并在封口处加盖投标人单位公章</w:t>
      </w:r>
      <w:r>
        <w:rPr>
          <w:rFonts w:hint="eastAsia" w:ascii="宋体" w:hAnsi="宋体" w:cs="宋体"/>
          <w:color w:val="auto"/>
          <w:spacing w:val="-2"/>
          <w:szCs w:val="21"/>
          <w:highlight w:val="none"/>
        </w:rPr>
        <w:t>。</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21.2资信技术文件和报价文件的封面应注明：项目名称、项目编号、投标人名称、磋商响应文件名称。</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21.3如果投标人未按上述要求密封及加写标记，采购人对磋商响应文件的误投和提前启封不负责。对由此造成提前开封的磋商响应文件，采购人有权予以拒绝，并退回投标人。</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39" w:name="_Toc356371437"/>
      <w:bookmarkStart w:id="40" w:name="_Toc17479"/>
      <w:bookmarkStart w:id="41" w:name="_Toc391380575"/>
      <w:bookmarkStart w:id="42" w:name="_Toc387928025"/>
      <w:r>
        <w:rPr>
          <w:rFonts w:hint="eastAsia" w:ascii="宋体" w:hAnsi="宋体" w:cs="宋体"/>
          <w:bCs/>
          <w:color w:val="auto"/>
          <w:szCs w:val="21"/>
          <w:highlight w:val="none"/>
        </w:rPr>
        <w:t>七、磋商响应文件的递交</w:t>
      </w:r>
      <w:bookmarkEnd w:id="39"/>
      <w:bookmarkEnd w:id="40"/>
      <w:bookmarkEnd w:id="41"/>
      <w:bookmarkEnd w:id="42"/>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22.递交磋商响应文件截止期</w:t>
      </w:r>
    </w:p>
    <w:p>
      <w:pPr>
        <w:autoSpaceDE w:val="0"/>
        <w:autoSpaceDN w:val="0"/>
        <w:adjustRightInd w:val="0"/>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投标人应在递交磋商响应文件截止时间前将磋商响应文件递交至竞争性磋商公告上的开标地点，逾期不予接收。递交磋商响应文件时还需递交法人授权委托书一份及被授权人身份证原件。</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23.磋商响应文件的修改和撤销</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23.1投标人在递交磋商响应文件后，可以修改或撤回其磋商响应文件，但投标人必须在规定的递交磋商响应文件截止时间之前将修改或撤回的书面通知递交到采购人。</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23.2投标人修改后的磋商响应文件应按原来的规定编制、密封、标记和递交。</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23.3在递交磋商响应文件截止期之后，投标人不得对其磋商响应文件做任何修改。</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23.4递交磋商响应文件截止期后，投标人不得撤回其磋商响应文件，否则其保证金将按照本磋商文件的规定不予退还。</w:t>
      </w:r>
    </w:p>
    <w:p>
      <w:pPr>
        <w:snapToGrid w:val="0"/>
        <w:spacing w:line="312" w:lineRule="auto"/>
        <w:ind w:firstLine="420" w:firstLineChars="200"/>
        <w:rPr>
          <w:rFonts w:hint="eastAsia" w:ascii="宋体" w:hAnsi="宋体" w:cs="宋体"/>
          <w:b/>
          <w:color w:val="auto"/>
          <w:szCs w:val="21"/>
          <w:highlight w:val="none"/>
        </w:rPr>
      </w:pPr>
      <w:r>
        <w:rPr>
          <w:rFonts w:hint="eastAsia" w:ascii="宋体" w:hAnsi="宋体" w:cs="宋体"/>
          <w:color w:val="auto"/>
          <w:szCs w:val="21"/>
          <w:highlight w:val="none"/>
        </w:rPr>
        <w:t>23.5实质上没有响应本文件要求的磋商响应文件将被拒绝。投标人不得通过修正或撤销不合要求的偏离或保留从而使其磋商响应文件成为实质上响应的文件。</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43" w:name="_Toc356371438"/>
      <w:bookmarkStart w:id="44" w:name="_Toc391380576"/>
      <w:bookmarkStart w:id="45" w:name="_Toc387928026"/>
      <w:bookmarkStart w:id="46" w:name="_Toc15250"/>
      <w:r>
        <w:rPr>
          <w:rFonts w:hint="eastAsia" w:ascii="宋体" w:hAnsi="宋体" w:cs="宋体"/>
          <w:bCs/>
          <w:color w:val="auto"/>
          <w:szCs w:val="21"/>
          <w:highlight w:val="none"/>
        </w:rPr>
        <w:t>八、投标无效的情形</w:t>
      </w:r>
      <w:bookmarkEnd w:id="43"/>
      <w:bookmarkEnd w:id="44"/>
      <w:bookmarkEnd w:id="45"/>
      <w:bookmarkEnd w:id="46"/>
    </w:p>
    <w:p>
      <w:pPr>
        <w:snapToGrid w:val="0"/>
        <w:spacing w:line="312" w:lineRule="auto"/>
        <w:ind w:firstLine="420" w:firstLineChars="200"/>
        <w:rPr>
          <w:rFonts w:hint="eastAsia" w:ascii="宋体" w:hAnsi="宋体" w:cs="宋体"/>
          <w:color w:val="auto"/>
          <w:szCs w:val="21"/>
          <w:highlight w:val="none"/>
        </w:rPr>
      </w:pPr>
      <w:bookmarkStart w:id="47" w:name="_Toc356371439"/>
      <w:r>
        <w:rPr>
          <w:rFonts w:hint="eastAsia" w:ascii="宋体" w:hAnsi="宋体" w:cs="宋体"/>
          <w:color w:val="auto"/>
          <w:szCs w:val="21"/>
          <w:highlight w:val="none"/>
        </w:rPr>
        <w:t>24.实质上没有响应磋商文件要求的投标将被视为无效投标。投标人不得通过修正或撤消不合要求的偏离或保留从而使其投标成为实质上响应的投标。如发生下列情况之一的，其投标视为无效：</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24.1磋商响应文件逾期送达的；</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24.2不具备磋商文件规定资格要求；</w:t>
      </w:r>
    </w:p>
    <w:p>
      <w:pPr>
        <w:snapToGrid w:val="0"/>
        <w:spacing w:line="312" w:lineRule="auto"/>
        <w:ind w:firstLine="420" w:firstLineChars="200"/>
        <w:rPr>
          <w:rFonts w:hint="eastAsia" w:ascii="宋体" w:hAnsi="宋体" w:cs="宋体"/>
          <w:bCs/>
          <w:color w:val="auto"/>
          <w:szCs w:val="21"/>
          <w:highlight w:val="none"/>
        </w:rPr>
      </w:pPr>
      <w:r>
        <w:rPr>
          <w:rFonts w:hint="eastAsia" w:ascii="宋体" w:hAnsi="宋体" w:cs="宋体"/>
          <w:color w:val="auto"/>
          <w:szCs w:val="21"/>
          <w:highlight w:val="none"/>
        </w:rPr>
        <w:t>24.3磋商响应文件有应盖而未盖公章、未按规定装订、密封、未有效授权的；</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24.4磋商文件中有▲处条款投标人未作实质性响应的；</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24.5磋商响应文件关键内容字迹模糊、无法辨认的；</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24.6提供虚假材料谋取中标的；</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24.7不符合法律、法规和磋商文件规定的其他实质性要求的。</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48" w:name="_Toc391380577"/>
      <w:bookmarkStart w:id="49" w:name="_Toc359592368"/>
      <w:bookmarkStart w:id="50" w:name="_Toc26025"/>
      <w:bookmarkStart w:id="51" w:name="_Toc387928027"/>
      <w:r>
        <w:rPr>
          <w:rFonts w:hint="eastAsia" w:ascii="宋体" w:hAnsi="宋体" w:cs="宋体"/>
          <w:bCs/>
          <w:color w:val="auto"/>
          <w:szCs w:val="21"/>
          <w:highlight w:val="none"/>
        </w:rPr>
        <w:t>九、废标的情形</w:t>
      </w:r>
      <w:bookmarkEnd w:id="48"/>
      <w:bookmarkEnd w:id="49"/>
      <w:bookmarkEnd w:id="50"/>
      <w:bookmarkEnd w:id="51"/>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25.采购中，出现下列情形之一的，应予废标，废标后，采购人将废标理由通知所有投标人；</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25.1出现影响采购公证的违法、违规行为的；</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25.2投标人的报价均超过了采购预算，采购人不能支付的；</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25.3因重大变故，采购任务取消的。</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52" w:name="_Toc5998"/>
      <w:bookmarkStart w:id="53" w:name="_Toc391380578"/>
      <w:bookmarkStart w:id="54" w:name="_Toc387928028"/>
      <w:r>
        <w:rPr>
          <w:rFonts w:hint="eastAsia" w:ascii="宋体" w:hAnsi="宋体" w:cs="宋体"/>
          <w:bCs/>
          <w:color w:val="auto"/>
          <w:szCs w:val="21"/>
          <w:highlight w:val="none"/>
        </w:rPr>
        <w:t>十、开标</w:t>
      </w:r>
      <w:bookmarkEnd w:id="47"/>
      <w:r>
        <w:rPr>
          <w:rFonts w:hint="eastAsia" w:ascii="宋体" w:hAnsi="宋体" w:cs="宋体"/>
          <w:bCs/>
          <w:color w:val="auto"/>
          <w:szCs w:val="21"/>
          <w:highlight w:val="none"/>
        </w:rPr>
        <w:t>和评标</w:t>
      </w:r>
      <w:bookmarkEnd w:id="52"/>
      <w:bookmarkEnd w:id="53"/>
      <w:bookmarkEnd w:id="54"/>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26.开标</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26.1采购单位按本采购文件投标须知前附表规定的时间和地点公开开标，并邀请所有投标人代表参加；投标人代表不参加开标会的，标后不得对采购相关人员、开标过程及结果提出异议。</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26.2撤回的磋商响应文件不予开封，并退回给投标人；开标时出现的无效磋商响应文件，不予送交评审。</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27.磋商小组</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27.1招标代理机构和采购人将根据招标采购货物的特点组建评标小组,其成员由技术、经济等方面的专家和采购人代表组成。评标小组对磋商响应文件进行审查、询标、评议和推荐中标人。</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27.2在评标期间,若有需要投标人应派代表参加询标。</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27.3对磋商响应文件的审查和响应性的确定。</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27.4评标小组将审查磋商响应文件是否真实、完整，总体编排是否有序,文件签署是否正确,有无计算上的错误等。</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bCs/>
          <w:color w:val="auto"/>
          <w:szCs w:val="21"/>
          <w:highlight w:val="none"/>
        </w:rPr>
        <w:t>28.评标</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28.1评定原则：根据符合采购需求、质量和服务等要求，综合评分确定中标人。 </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28.2磋商响应文件的澄清：在评标期间, 磋商小组可要求投标人对其磋商响应文件进行澄清,但不得寻求、提供或允许对磋商文件中实质性内容做任何更改。有关澄清的要求和答复均应以书面形式提交。</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28.3评标报告：评标小组完成评定后，向采购人提交经各评标小组成员签字的评定结果报告，并按评定办法推荐中标人。</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29.保密</w:t>
      </w:r>
    </w:p>
    <w:p>
      <w:pPr>
        <w:snapToGrid w:val="0"/>
        <w:spacing w:line="312" w:lineRule="auto"/>
        <w:ind w:firstLine="420" w:firstLineChars="200"/>
        <w:rPr>
          <w:rFonts w:hint="eastAsia" w:ascii="宋体" w:hAnsi="宋体" w:cs="宋体"/>
          <w:color w:val="auto"/>
          <w:szCs w:val="21"/>
          <w:highlight w:val="none"/>
        </w:rPr>
      </w:pPr>
      <w:bookmarkStart w:id="55" w:name="_Toc356371440"/>
      <w:r>
        <w:rPr>
          <w:rFonts w:hint="eastAsia" w:ascii="宋体" w:hAnsi="宋体" w:cs="宋体"/>
          <w:bCs/>
          <w:color w:val="auto"/>
          <w:szCs w:val="21"/>
          <w:highlight w:val="none"/>
        </w:rPr>
        <w:t>29.1公开开标后直到宣布授予中标人合同为止,凡属于审查、澄清、评估和比较投标的有关资料且与授予合同有关的信息都不得向任何投标人或与上述评标过程无关的人员透露。</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29.2投标人对评标、比较或授予合同决定的过程施加影响的企图和行为,都可能导致其投标被拒绝。</w:t>
      </w:r>
    </w:p>
    <w:p>
      <w:pPr>
        <w:pStyle w:val="24"/>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30.监督</w:t>
      </w:r>
    </w:p>
    <w:p>
      <w:pPr>
        <w:pStyle w:val="24"/>
        <w:spacing w:line="312" w:lineRule="auto"/>
        <w:ind w:firstLine="420" w:firstLineChars="200"/>
        <w:rPr>
          <w:rFonts w:hint="eastAsia" w:ascii="宋体" w:hAnsi="宋体" w:cs="宋体"/>
          <w:b/>
          <w:color w:val="auto"/>
          <w:sz w:val="21"/>
          <w:szCs w:val="21"/>
          <w:highlight w:val="none"/>
        </w:rPr>
      </w:pPr>
      <w:r>
        <w:rPr>
          <w:rFonts w:hint="eastAsia" w:ascii="宋体" w:hAnsi="宋体" w:cs="宋体"/>
          <w:color w:val="auto"/>
          <w:sz w:val="21"/>
          <w:szCs w:val="21"/>
          <w:highlight w:val="none"/>
        </w:rPr>
        <w:t>有关监督部门将对招投标全过程进行监督。</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56" w:name="_Toc4656"/>
      <w:r>
        <w:rPr>
          <w:rFonts w:hint="eastAsia" w:ascii="宋体" w:hAnsi="宋体" w:cs="宋体"/>
          <w:bCs/>
          <w:color w:val="auto"/>
          <w:szCs w:val="21"/>
          <w:highlight w:val="none"/>
        </w:rPr>
        <w:t>十一、评标结果公示</w:t>
      </w:r>
      <w:bookmarkEnd w:id="56"/>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31.确定中标人后，进行中标结果公示，公示期为1个工作日。 </w:t>
      </w:r>
    </w:p>
    <w:p>
      <w:pPr>
        <w:pStyle w:val="24"/>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32.中标人因自身原因放弃中标或因不可抗力不能履行合同的；经质疑，采购人审查确定因中标人在本次招标活动中存在违规行为或其他原因使质疑成立的；采购人可以与综合得分排名顺序依次签订合同；也可以重新组织招标。</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57" w:name="_Toc20776"/>
      <w:r>
        <w:rPr>
          <w:rFonts w:hint="eastAsia" w:ascii="宋体" w:hAnsi="宋体" w:cs="宋体"/>
          <w:bCs/>
          <w:color w:val="auto"/>
          <w:szCs w:val="21"/>
          <w:highlight w:val="none"/>
        </w:rPr>
        <w:t>十二、质疑</w:t>
      </w:r>
      <w:bookmarkEnd w:id="57"/>
    </w:p>
    <w:p>
      <w:pPr>
        <w:pStyle w:val="24"/>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33.投标人若对评标结果有异议或在参与本次投标活动过程中确认自己的权益受到损害的，可在</w:t>
      </w:r>
      <w:bookmarkStart w:id="58" w:name="OLE_LINK2"/>
      <w:r>
        <w:rPr>
          <w:rFonts w:hint="eastAsia" w:ascii="宋体" w:hAnsi="宋体" w:cs="宋体"/>
          <w:color w:val="auto"/>
          <w:sz w:val="21"/>
          <w:szCs w:val="21"/>
          <w:highlight w:val="none"/>
        </w:rPr>
        <w:t>《浙江省政府采购供应商质疑处理办法》的通知的第八条</w:t>
      </w:r>
      <w:bookmarkEnd w:id="58"/>
      <w:r>
        <w:rPr>
          <w:rFonts w:hint="eastAsia" w:ascii="宋体" w:hAnsi="宋体" w:cs="宋体"/>
          <w:color w:val="auto"/>
          <w:sz w:val="21"/>
          <w:szCs w:val="21"/>
          <w:highlight w:val="none"/>
        </w:rPr>
        <w:t>规定的工作日内向招标代理机构提出书面质疑，书面质疑文件应该有质疑内容及必须附送有关证据材料和注明事实确切来源依据、单位名称、公章、联系人姓名、联系电话、传真，否则视为无效质疑。</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59" w:name="_Toc10297"/>
      <w:bookmarkStart w:id="60" w:name="_Toc391380579"/>
      <w:r>
        <w:rPr>
          <w:rFonts w:hint="eastAsia" w:ascii="宋体" w:hAnsi="宋体" w:cs="宋体"/>
          <w:bCs/>
          <w:color w:val="auto"/>
          <w:szCs w:val="21"/>
          <w:highlight w:val="none"/>
        </w:rPr>
        <w:t>十三、授予合同</w:t>
      </w:r>
      <w:bookmarkEnd w:id="55"/>
      <w:bookmarkEnd w:id="59"/>
      <w:bookmarkEnd w:id="60"/>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34.中标通知和合同授予</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34.1中标通知书：评定结果经公示后无异议的，招标代理机构将以书面形式发出《中标通知书》。《中标通知书》一经发出即发生法律效力。采购人无义务向未中标供应商解释落选原因，不退回磋商响应文件。《中标通知书》将作为签订合同的依据。</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34.2履约保证金：中标人在合同签订前向采购人交纳履约保证金。</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34.3签订合同：中标人按《中标通知书》指定的时间、地点与采购人直接签订合同。在有合理证据证明投标人在投标过程中承诺的内容不能实质响应的，采购人有权拒签合同。</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34.4磋商文件、澄清文件、磋商响应文件等，均为签订合同的依据。中标人接到中标通知书后在规定的时间内与采购人签定合同。</w:t>
      </w:r>
    </w:p>
    <w:p>
      <w:pPr>
        <w:snapToGrid w:val="0"/>
        <w:spacing w:line="312" w:lineRule="auto"/>
        <w:ind w:firstLine="420" w:firstLineChars="200"/>
        <w:rPr>
          <w:rFonts w:hint="eastAsia" w:ascii="宋体" w:hAnsi="宋体" w:cs="宋体"/>
          <w:b/>
          <w:bCs/>
          <w:color w:val="auto"/>
          <w:szCs w:val="21"/>
          <w:highlight w:val="none"/>
          <w:u w:val="wave"/>
        </w:rPr>
      </w:pPr>
      <w:r>
        <w:rPr>
          <w:rFonts w:hint="eastAsia" w:ascii="宋体" w:hAnsi="宋体" w:cs="宋体"/>
          <w:color w:val="auto"/>
          <w:szCs w:val="21"/>
          <w:highlight w:val="none"/>
        </w:rPr>
        <w:t>34.5中标人不遵守磋商响应文件的要约、承诺，擅自修改磋商响应文件的内容或在接到中标通知书规定的时间内，借故拖延、拒签合同者，采购人将取消该供应商的中标资格。</w:t>
      </w:r>
    </w:p>
    <w:p>
      <w:pPr>
        <w:snapToGrid w:val="0"/>
        <w:spacing w:line="312" w:lineRule="auto"/>
        <w:ind w:firstLine="420" w:firstLineChars="200"/>
        <w:rPr>
          <w:rFonts w:hint="eastAsia" w:ascii="宋体" w:hAnsi="宋体" w:cs="宋体"/>
          <w:b/>
          <w:bCs/>
          <w:color w:val="auto"/>
          <w:szCs w:val="21"/>
          <w:highlight w:val="none"/>
          <w:u w:val="wave"/>
        </w:rPr>
      </w:pPr>
      <w:r>
        <w:rPr>
          <w:rFonts w:hint="eastAsia" w:ascii="宋体" w:hAnsi="宋体" w:cs="宋体"/>
          <w:bCs/>
          <w:color w:val="auto"/>
          <w:szCs w:val="21"/>
          <w:highlight w:val="none"/>
        </w:rPr>
        <w:t>34.6</w:t>
      </w:r>
      <w:r>
        <w:rPr>
          <w:rFonts w:hint="eastAsia" w:ascii="宋体" w:hAnsi="宋体" w:cs="宋体"/>
          <w:color w:val="auto"/>
          <w:szCs w:val="21"/>
          <w:highlight w:val="none"/>
        </w:rPr>
        <w:t>签约后即为招标结束。磋商响应文件一律不退。</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35.授标时更改招标货物数量的权力</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招标人在授予合同时，有权根据员工人数变动情况对招标货物的数量和服务在一定幅度范围内予以增加或减少,但不得对单价和其他的条款和条件作任何改变。</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61" w:name="_Toc356371441"/>
      <w:bookmarkStart w:id="62" w:name="_Toc391380580"/>
      <w:bookmarkStart w:id="63" w:name="_Toc16904"/>
      <w:r>
        <w:rPr>
          <w:rFonts w:hint="eastAsia" w:ascii="宋体" w:hAnsi="宋体" w:cs="宋体"/>
          <w:bCs/>
          <w:color w:val="auto"/>
          <w:szCs w:val="21"/>
          <w:highlight w:val="none"/>
        </w:rPr>
        <w:t>十五、法律责任</w:t>
      </w:r>
      <w:bookmarkEnd w:id="61"/>
      <w:bookmarkEnd w:id="62"/>
      <w:bookmarkEnd w:id="63"/>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36.1提供虚假材料谋取中标的;</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36.2采取不正当手段诋毁、排挤其他投标人的;</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36.3与采购人、招标代理机构、其他投标人恶意串通的;</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36.4向采购人、招标代理机构行贿或者提供其他不正当利益的;</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36.5在招标过程中与采购人进行协商谈判、不按照磋商文件和中标人的磋商响应文件订立合同,或者与采购人另行订立背离合同实质性内容的协议的;</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36.6拒绝有关部门监督检查或者提供虚假情况的；</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64" w:name="_Toc18116"/>
      <w:r>
        <w:rPr>
          <w:rFonts w:hint="eastAsia" w:ascii="宋体" w:hAnsi="宋体" w:cs="宋体"/>
          <w:bCs/>
          <w:color w:val="auto"/>
          <w:szCs w:val="21"/>
          <w:highlight w:val="none"/>
        </w:rPr>
        <w:t>十六、招标代理服务费</w:t>
      </w:r>
      <w:bookmarkEnd w:id="64"/>
    </w:p>
    <w:p>
      <w:pPr>
        <w:snapToGrid w:val="0"/>
        <w:spacing w:line="312" w:lineRule="auto"/>
        <w:ind w:firstLine="420" w:firstLineChars="200"/>
        <w:rPr>
          <w:rFonts w:hint="default" w:ascii="宋体" w:hAnsi="宋体" w:eastAsia="宋体" w:cs="宋体"/>
          <w:color w:val="auto"/>
          <w:szCs w:val="21"/>
          <w:highlight w:val="none"/>
          <w:lang w:val="en-US" w:eastAsia="zh-CN"/>
        </w:rPr>
      </w:pPr>
      <w:bookmarkStart w:id="65" w:name="_Toc350256314"/>
      <w:bookmarkStart w:id="66" w:name="_Toc391380582"/>
      <w:bookmarkStart w:id="67" w:name="_Toc354401531"/>
      <w:bookmarkStart w:id="68" w:name="_Toc322352983"/>
      <w:r>
        <w:rPr>
          <w:rFonts w:hint="eastAsia" w:ascii="宋体" w:hAnsi="宋体" w:cs="宋体"/>
          <w:color w:val="auto"/>
          <w:szCs w:val="21"/>
          <w:highlight w:val="none"/>
        </w:rPr>
        <w:t>37.1中标人须向代理机构交纳招标代理服务费，招标代理服务费按计价格[2002]1980号规定标准的58%收取。</w:t>
      </w:r>
      <w:r>
        <w:rPr>
          <w:rFonts w:hint="eastAsia" w:ascii="宋体" w:hAnsi="宋体" w:cs="宋体"/>
          <w:color w:val="auto"/>
          <w:szCs w:val="21"/>
          <w:highlight w:val="none"/>
          <w:lang w:eastAsia="zh-CN"/>
        </w:rPr>
        <w:t>不足</w:t>
      </w:r>
      <w:r>
        <w:rPr>
          <w:rFonts w:hint="eastAsia" w:ascii="宋体" w:hAnsi="宋体" w:cs="宋体"/>
          <w:color w:val="auto"/>
          <w:szCs w:val="21"/>
          <w:highlight w:val="none"/>
          <w:lang w:val="en-US" w:eastAsia="zh-CN"/>
        </w:rPr>
        <w:t>2000元的按2000元收取。</w:t>
      </w:r>
    </w:p>
    <w:tbl>
      <w:tblPr>
        <w:tblStyle w:val="61"/>
        <w:tblW w:w="77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4365" w:type="dxa"/>
            <w:tcBorders>
              <w:tl2br w:val="single" w:color="auto" w:sz="4" w:space="0"/>
            </w:tcBorders>
            <w:noWrap w:val="0"/>
            <w:vAlign w:val="top"/>
          </w:tcPr>
          <w:p>
            <w:pPr>
              <w:snapToGrid w:val="0"/>
              <w:spacing w:line="312" w:lineRule="auto"/>
              <w:ind w:firstLine="420" w:firstLineChars="200"/>
              <w:rPr>
                <w:rFonts w:hint="eastAsia" w:ascii="宋体" w:hAnsi="宋体" w:cs="宋体"/>
                <w:color w:val="auto"/>
                <w:szCs w:val="21"/>
                <w:highlight w:val="none"/>
              </w:rPr>
            </w:pP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中标金额（万元）           费率</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                         </w:t>
            </w:r>
          </w:p>
        </w:tc>
        <w:tc>
          <w:tcPr>
            <w:tcW w:w="3375" w:type="dxa"/>
            <w:noWrap w:val="0"/>
            <w:vAlign w:val="center"/>
          </w:tcPr>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服务</w:t>
            </w:r>
            <w:r>
              <w:rPr>
                <w:rFonts w:hint="eastAsia" w:ascii="宋体" w:hAnsi="宋体" w:cs="宋体"/>
                <w:color w:val="auto"/>
                <w:szCs w:val="21"/>
                <w:highlight w:val="none"/>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5" w:type="dxa"/>
            <w:noWrap w:val="0"/>
            <w:vAlign w:val="top"/>
          </w:tcPr>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100以下</w:t>
            </w:r>
          </w:p>
        </w:tc>
        <w:tc>
          <w:tcPr>
            <w:tcW w:w="3375" w:type="dxa"/>
            <w:noWrap w:val="0"/>
            <w:vAlign w:val="top"/>
          </w:tcPr>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5" w:type="dxa"/>
            <w:noWrap w:val="0"/>
            <w:vAlign w:val="top"/>
          </w:tcPr>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100-500</w:t>
            </w:r>
          </w:p>
        </w:tc>
        <w:tc>
          <w:tcPr>
            <w:tcW w:w="3375" w:type="dxa"/>
            <w:noWrap w:val="0"/>
            <w:vAlign w:val="top"/>
          </w:tcPr>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0.8</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5" w:type="dxa"/>
            <w:noWrap w:val="0"/>
            <w:vAlign w:val="top"/>
          </w:tcPr>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500-1000</w:t>
            </w:r>
          </w:p>
        </w:tc>
        <w:tc>
          <w:tcPr>
            <w:tcW w:w="3375" w:type="dxa"/>
            <w:noWrap w:val="0"/>
            <w:vAlign w:val="top"/>
          </w:tcPr>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0.</w:t>
            </w:r>
            <w:r>
              <w:rPr>
                <w:rFonts w:hint="eastAsia" w:ascii="宋体" w:hAnsi="宋体" w:cs="宋体"/>
                <w:color w:val="auto"/>
                <w:szCs w:val="21"/>
                <w:highlight w:val="none"/>
                <w:lang w:val="en-US" w:eastAsia="zh-CN"/>
              </w:rPr>
              <w:t>45</w:t>
            </w:r>
            <w:r>
              <w:rPr>
                <w:rFonts w:hint="eastAsia" w:ascii="宋体" w:hAnsi="宋体" w:cs="宋体"/>
                <w:color w:val="auto"/>
                <w:szCs w:val="21"/>
                <w:highlight w:val="none"/>
              </w:rPr>
              <w:t>%</w:t>
            </w:r>
          </w:p>
        </w:tc>
      </w:tr>
    </w:tbl>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37.2招标代理服务费在中标人领取成交通知书时，向招标代理机构直接交纳，可用汇票、电汇、银行本票、现金等付款方式。</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37.3代理服务费不在报价中单列，请投标人在报价中予以考虑。</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37.4评委费按实收取。</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bookmarkStart w:id="69" w:name="_Toc391380581"/>
      <w:bookmarkStart w:id="70" w:name="_Toc356371442"/>
      <w:bookmarkStart w:id="71" w:name="_Toc387928031"/>
      <w:bookmarkStart w:id="72" w:name="_Toc29828"/>
      <w:bookmarkStart w:id="73" w:name="_Toc17630"/>
      <w:r>
        <w:rPr>
          <w:rFonts w:hint="eastAsia" w:ascii="宋体" w:hAnsi="宋体" w:cs="宋体"/>
          <w:color w:val="auto"/>
          <w:szCs w:val="21"/>
          <w:highlight w:val="none"/>
          <w:lang w:val="zh-CN"/>
        </w:rPr>
        <w:t>十五、其他</w:t>
      </w:r>
      <w:bookmarkEnd w:id="69"/>
      <w:bookmarkEnd w:id="70"/>
      <w:bookmarkEnd w:id="71"/>
      <w:bookmarkEnd w:id="72"/>
      <w:bookmarkEnd w:id="73"/>
    </w:p>
    <w:p>
      <w:pPr>
        <w:spacing w:line="312" w:lineRule="auto"/>
        <w:ind w:firstLine="420" w:firstLineChars="200"/>
        <w:outlineLvl w:val="0"/>
        <w:rPr>
          <w:rFonts w:hint="eastAsia" w:ascii="宋体" w:hAnsi="宋体" w:cs="宋体"/>
          <w:color w:val="auto"/>
          <w:szCs w:val="21"/>
          <w:highlight w:val="none"/>
        </w:rPr>
      </w:pPr>
      <w:bookmarkStart w:id="74" w:name="_Toc24606"/>
      <w:r>
        <w:rPr>
          <w:rFonts w:hint="eastAsia" w:ascii="宋体" w:hAnsi="宋体" w:cs="宋体"/>
          <w:color w:val="auto"/>
          <w:szCs w:val="21"/>
          <w:highlight w:val="none"/>
        </w:rPr>
        <w:t>38.解释权：本磋商文件是依据《政府采购法》及有关规定编制，解释权属采购人。</w:t>
      </w:r>
      <w:bookmarkEnd w:id="74"/>
    </w:p>
    <w:p>
      <w:pPr>
        <w:spacing w:line="312" w:lineRule="auto"/>
        <w:jc w:val="center"/>
        <w:outlineLvl w:val="0"/>
        <w:rPr>
          <w:rFonts w:hint="eastAsia" w:ascii="宋体" w:hAnsi="宋体" w:cs="宋体"/>
          <w:color w:val="auto"/>
          <w:szCs w:val="21"/>
          <w:highlight w:val="none"/>
        </w:rPr>
      </w:pPr>
    </w:p>
    <w:p>
      <w:pPr>
        <w:spacing w:line="312" w:lineRule="auto"/>
        <w:jc w:val="center"/>
        <w:outlineLvl w:val="0"/>
        <w:rPr>
          <w:rFonts w:hint="eastAsia" w:ascii="宋体" w:hAnsi="宋体" w:cs="宋体"/>
          <w:color w:val="auto"/>
          <w:szCs w:val="21"/>
          <w:highlight w:val="none"/>
        </w:rPr>
      </w:pPr>
    </w:p>
    <w:p>
      <w:pPr>
        <w:spacing w:line="312" w:lineRule="auto"/>
        <w:jc w:val="center"/>
        <w:outlineLvl w:val="0"/>
        <w:rPr>
          <w:rFonts w:hint="eastAsia" w:ascii="宋体" w:hAnsi="宋体" w:cs="宋体"/>
          <w:color w:val="auto"/>
          <w:szCs w:val="21"/>
          <w:highlight w:val="none"/>
        </w:rPr>
      </w:pPr>
    </w:p>
    <w:p>
      <w:pPr>
        <w:spacing w:line="312" w:lineRule="auto"/>
        <w:jc w:val="center"/>
        <w:outlineLvl w:val="0"/>
        <w:rPr>
          <w:rFonts w:hint="eastAsia" w:ascii="宋体" w:hAnsi="宋体" w:cs="宋体"/>
          <w:color w:val="auto"/>
          <w:szCs w:val="21"/>
          <w:highlight w:val="none"/>
        </w:rPr>
      </w:pPr>
    </w:p>
    <w:p>
      <w:pPr>
        <w:spacing w:line="312" w:lineRule="auto"/>
        <w:outlineLvl w:val="0"/>
        <w:rPr>
          <w:rFonts w:hint="eastAsia" w:ascii="宋体" w:hAnsi="宋体" w:cs="宋体"/>
          <w:color w:val="auto"/>
          <w:szCs w:val="21"/>
          <w:highlight w:val="none"/>
        </w:rPr>
      </w:pPr>
    </w:p>
    <w:p>
      <w:pPr>
        <w:pStyle w:val="2"/>
        <w:rPr>
          <w:rFonts w:hint="eastAsia" w:ascii="宋体" w:hAnsi="宋体" w:eastAsia="宋体" w:cs="宋体"/>
          <w:color w:val="auto"/>
          <w:szCs w:val="21"/>
          <w:highlight w:val="none"/>
        </w:rPr>
      </w:pPr>
    </w:p>
    <w:p>
      <w:pPr>
        <w:pStyle w:val="2"/>
        <w:rPr>
          <w:rFonts w:hint="eastAsia" w:ascii="宋体" w:hAnsi="宋体" w:eastAsia="宋体" w:cs="宋体"/>
          <w:color w:val="auto"/>
          <w:szCs w:val="21"/>
          <w:highlight w:val="none"/>
        </w:rPr>
      </w:pPr>
    </w:p>
    <w:p>
      <w:pPr>
        <w:pStyle w:val="2"/>
        <w:rPr>
          <w:rFonts w:hint="eastAsia" w:ascii="宋体" w:hAnsi="宋体" w:eastAsia="宋体" w:cs="宋体"/>
          <w:color w:val="auto"/>
          <w:szCs w:val="21"/>
          <w:highlight w:val="none"/>
        </w:rPr>
      </w:pPr>
    </w:p>
    <w:p>
      <w:pPr>
        <w:pStyle w:val="2"/>
        <w:rPr>
          <w:rFonts w:hint="eastAsia" w:ascii="宋体" w:hAnsi="宋体" w:eastAsia="宋体" w:cs="宋体"/>
          <w:color w:val="auto"/>
          <w:szCs w:val="21"/>
          <w:highlight w:val="none"/>
        </w:rPr>
      </w:pPr>
    </w:p>
    <w:p>
      <w:pPr>
        <w:spacing w:line="312" w:lineRule="auto"/>
        <w:jc w:val="center"/>
        <w:outlineLvl w:val="0"/>
        <w:rPr>
          <w:rFonts w:hint="eastAsia" w:ascii="宋体" w:hAnsi="宋体" w:cs="宋体"/>
          <w:b/>
          <w:color w:val="auto"/>
          <w:szCs w:val="21"/>
          <w:highlight w:val="none"/>
        </w:rPr>
      </w:pPr>
      <w:bookmarkStart w:id="75" w:name="_Toc1205"/>
    </w:p>
    <w:p>
      <w:pPr>
        <w:pStyle w:val="2"/>
        <w:rPr>
          <w:rFonts w:hint="eastAsia"/>
          <w:highlight w:val="none"/>
        </w:rPr>
      </w:pPr>
    </w:p>
    <w:p>
      <w:pPr>
        <w:spacing w:line="312" w:lineRule="auto"/>
        <w:jc w:val="center"/>
        <w:outlineLvl w:val="0"/>
        <w:rPr>
          <w:rFonts w:hint="eastAsia" w:ascii="宋体" w:hAnsi="宋体" w:cs="宋体"/>
          <w:b/>
          <w:color w:val="auto"/>
          <w:szCs w:val="21"/>
          <w:highlight w:val="none"/>
        </w:rPr>
      </w:pPr>
    </w:p>
    <w:p>
      <w:pPr>
        <w:spacing w:line="312" w:lineRule="auto"/>
        <w:jc w:val="center"/>
        <w:outlineLvl w:val="0"/>
        <w:rPr>
          <w:rFonts w:hint="eastAsia" w:ascii="宋体" w:hAnsi="宋体" w:cs="宋体"/>
          <w:b/>
          <w:color w:val="auto"/>
          <w:szCs w:val="21"/>
          <w:highlight w:val="none"/>
        </w:rPr>
      </w:pPr>
      <w:r>
        <w:rPr>
          <w:rFonts w:hint="eastAsia" w:ascii="宋体" w:hAnsi="宋体" w:cs="宋体"/>
          <w:b/>
          <w:color w:val="auto"/>
          <w:szCs w:val="21"/>
          <w:highlight w:val="none"/>
        </w:rPr>
        <w:t>第三章  采购内容及要求</w:t>
      </w:r>
      <w:bookmarkEnd w:id="65"/>
      <w:bookmarkEnd w:id="66"/>
      <w:bookmarkEnd w:id="67"/>
      <w:bookmarkEnd w:id="68"/>
      <w:bookmarkEnd w:id="75"/>
      <w:bookmarkStart w:id="76" w:name="_Toc391380595"/>
      <w:bookmarkStart w:id="77" w:name="_Toc272368143"/>
      <w:bookmarkStart w:id="78" w:name="_Toc354401533"/>
    </w:p>
    <w:p>
      <w:pPr>
        <w:snapToGrid w:val="0"/>
        <w:spacing w:before="120" w:beforeLines="50" w:after="120" w:afterLines="50" w:line="312" w:lineRule="auto"/>
        <w:ind w:firstLine="420" w:firstLineChars="200"/>
        <w:outlineLvl w:val="1"/>
        <w:rPr>
          <w:rFonts w:hint="eastAsia" w:ascii="宋体" w:hAnsi="宋体" w:cs="宋体"/>
          <w:bCs/>
          <w:szCs w:val="21"/>
          <w:highlight w:val="none"/>
        </w:rPr>
      </w:pPr>
      <w:bookmarkStart w:id="79" w:name="_Toc20206"/>
      <w:r>
        <w:rPr>
          <w:rFonts w:hint="eastAsia" w:ascii="宋体" w:hAnsi="宋体" w:cs="宋体"/>
          <w:bCs/>
          <w:szCs w:val="21"/>
          <w:highlight w:val="none"/>
        </w:rPr>
        <w:t>一、项目概况</w:t>
      </w:r>
      <w:bookmarkEnd w:id="79"/>
    </w:p>
    <w:p>
      <w:pPr>
        <w:pStyle w:val="2"/>
        <w:spacing w:line="312" w:lineRule="auto"/>
        <w:ind w:firstLine="438" w:firstLineChars="209"/>
        <w:rPr>
          <w:rFonts w:hint="eastAsia" w:ascii="宋体" w:hAnsi="宋体" w:eastAsia="宋体" w:cs="宋体"/>
          <w:b w:val="0"/>
          <w:bCs w:val="0"/>
          <w:spacing w:val="0"/>
          <w:sz w:val="21"/>
          <w:szCs w:val="21"/>
          <w:highlight w:val="none"/>
        </w:rPr>
      </w:pPr>
      <w:r>
        <w:rPr>
          <w:rFonts w:hint="eastAsia" w:ascii="宋体" w:hAnsi="宋体" w:eastAsia="宋体" w:cs="宋体"/>
          <w:b w:val="0"/>
          <w:bCs w:val="0"/>
          <w:spacing w:val="0"/>
          <w:sz w:val="21"/>
          <w:szCs w:val="21"/>
          <w:highlight w:val="none"/>
        </w:rPr>
        <w:t>1.项目名称：202</w:t>
      </w:r>
      <w:r>
        <w:rPr>
          <w:rFonts w:hint="eastAsia" w:ascii="宋体" w:hAnsi="宋体" w:eastAsia="宋体" w:cs="宋体"/>
          <w:b w:val="0"/>
          <w:bCs w:val="0"/>
          <w:spacing w:val="0"/>
          <w:sz w:val="21"/>
          <w:szCs w:val="21"/>
          <w:highlight w:val="none"/>
          <w:lang w:val="en-US" w:eastAsia="zh-CN"/>
        </w:rPr>
        <w:t>2</w:t>
      </w:r>
      <w:r>
        <w:rPr>
          <w:rFonts w:hint="eastAsia" w:ascii="宋体" w:hAnsi="宋体" w:eastAsia="宋体" w:cs="宋体"/>
          <w:b w:val="0"/>
          <w:bCs w:val="0"/>
          <w:spacing w:val="0"/>
          <w:sz w:val="21"/>
          <w:szCs w:val="21"/>
          <w:highlight w:val="none"/>
        </w:rPr>
        <w:t>-202</w:t>
      </w:r>
      <w:r>
        <w:rPr>
          <w:rFonts w:hint="eastAsia" w:ascii="宋体" w:hAnsi="宋体" w:eastAsia="宋体" w:cs="宋体"/>
          <w:b w:val="0"/>
          <w:bCs w:val="0"/>
          <w:spacing w:val="0"/>
          <w:sz w:val="21"/>
          <w:szCs w:val="21"/>
          <w:highlight w:val="none"/>
          <w:lang w:val="en-US" w:eastAsia="zh-CN"/>
        </w:rPr>
        <w:t>4</w:t>
      </w:r>
      <w:r>
        <w:rPr>
          <w:rFonts w:hint="eastAsia" w:ascii="宋体" w:hAnsi="宋体" w:eastAsia="宋体" w:cs="宋体"/>
          <w:b w:val="0"/>
          <w:bCs w:val="0"/>
          <w:spacing w:val="0"/>
          <w:sz w:val="21"/>
          <w:szCs w:val="21"/>
          <w:highlight w:val="none"/>
        </w:rPr>
        <w:t>年度</w:t>
      </w:r>
      <w:r>
        <w:rPr>
          <w:rFonts w:hint="eastAsia" w:ascii="宋体" w:hAnsi="宋体" w:eastAsia="宋体" w:cs="宋体"/>
          <w:b w:val="0"/>
          <w:bCs w:val="0"/>
          <w:spacing w:val="0"/>
          <w:sz w:val="21"/>
          <w:szCs w:val="21"/>
          <w:highlight w:val="none"/>
          <w:lang w:eastAsia="zh-CN"/>
        </w:rPr>
        <w:t>食堂蔬菜（包括干货、豆制品、半成品食品）及水果</w:t>
      </w:r>
      <w:r>
        <w:rPr>
          <w:rFonts w:hint="eastAsia" w:ascii="宋体" w:hAnsi="宋体" w:eastAsia="宋体" w:cs="宋体"/>
          <w:b w:val="0"/>
          <w:bCs w:val="0"/>
          <w:spacing w:val="0"/>
          <w:sz w:val="21"/>
          <w:szCs w:val="21"/>
          <w:highlight w:val="none"/>
        </w:rPr>
        <w:t>配送采购项目。</w:t>
      </w:r>
    </w:p>
    <w:p>
      <w:pPr>
        <w:pStyle w:val="2"/>
        <w:spacing w:line="312" w:lineRule="auto"/>
        <w:ind w:firstLine="438" w:firstLineChars="209"/>
        <w:rPr>
          <w:rFonts w:hint="eastAsia" w:ascii="宋体" w:hAnsi="宋体" w:eastAsia="宋体" w:cs="宋体"/>
          <w:b w:val="0"/>
          <w:bCs w:val="0"/>
          <w:spacing w:val="0"/>
          <w:sz w:val="21"/>
          <w:szCs w:val="21"/>
          <w:highlight w:val="none"/>
        </w:rPr>
      </w:pPr>
      <w:r>
        <w:rPr>
          <w:rFonts w:hint="eastAsia" w:ascii="宋体" w:hAnsi="宋体" w:eastAsia="宋体" w:cs="宋体"/>
          <w:b w:val="0"/>
          <w:bCs w:val="0"/>
          <w:spacing w:val="0"/>
          <w:sz w:val="21"/>
          <w:szCs w:val="21"/>
          <w:highlight w:val="none"/>
        </w:rPr>
        <w:t>2.项目服务期限：采购期限</w:t>
      </w:r>
      <w:r>
        <w:rPr>
          <w:rFonts w:hint="eastAsia" w:ascii="宋体" w:hAnsi="宋体" w:eastAsia="宋体" w:cs="宋体"/>
          <w:b w:val="0"/>
          <w:bCs w:val="0"/>
          <w:spacing w:val="0"/>
          <w:sz w:val="21"/>
          <w:szCs w:val="21"/>
          <w:highlight w:val="none"/>
          <w:lang w:val="en-US" w:eastAsia="zh-CN"/>
        </w:rPr>
        <w:t>2</w:t>
      </w:r>
      <w:r>
        <w:rPr>
          <w:rFonts w:hint="eastAsia" w:ascii="宋体" w:hAnsi="宋体" w:eastAsia="宋体" w:cs="宋体"/>
          <w:b w:val="0"/>
          <w:bCs w:val="0"/>
          <w:spacing w:val="0"/>
          <w:sz w:val="21"/>
          <w:szCs w:val="21"/>
          <w:highlight w:val="none"/>
        </w:rPr>
        <w:t>年，合同按</w:t>
      </w:r>
      <w:r>
        <w:rPr>
          <w:rFonts w:hint="eastAsia" w:ascii="宋体" w:hAnsi="宋体" w:eastAsia="宋体" w:cs="宋体"/>
          <w:b w:val="0"/>
          <w:bCs w:val="0"/>
          <w:spacing w:val="0"/>
          <w:sz w:val="21"/>
          <w:szCs w:val="21"/>
          <w:highlight w:val="none"/>
          <w:lang w:val="en-US" w:eastAsia="zh-CN"/>
        </w:rPr>
        <w:t>二</w:t>
      </w:r>
      <w:r>
        <w:rPr>
          <w:rFonts w:hint="eastAsia" w:ascii="宋体" w:hAnsi="宋体" w:eastAsia="宋体" w:cs="宋体"/>
          <w:b w:val="0"/>
          <w:bCs w:val="0"/>
          <w:spacing w:val="0"/>
          <w:sz w:val="21"/>
          <w:szCs w:val="21"/>
          <w:highlight w:val="none"/>
        </w:rPr>
        <w:t>年签订，具体时间以签订合同为准。合同执行过程中如有违约行为，招标人有权终止合同，并按中标候选人顺序依次与下一个候选人签订协议。</w:t>
      </w:r>
    </w:p>
    <w:p>
      <w:pPr>
        <w:pStyle w:val="56"/>
        <w:snapToGrid w:val="0"/>
        <w:spacing w:before="0" w:beforeAutospacing="0" w:after="0" w:afterAutospacing="0" w:line="312" w:lineRule="auto"/>
        <w:ind w:firstLine="420" w:firstLineChars="200"/>
        <w:rPr>
          <w:rFonts w:hint="eastAsia" w:cs="宋体"/>
          <w:color w:val="auto"/>
          <w:sz w:val="21"/>
          <w:szCs w:val="21"/>
          <w:highlight w:val="none"/>
        </w:rPr>
      </w:pPr>
      <w:bookmarkStart w:id="80" w:name="_Toc19004"/>
      <w:r>
        <w:rPr>
          <w:rFonts w:hint="eastAsia" w:cs="宋体"/>
          <w:color w:val="auto"/>
          <w:sz w:val="21"/>
          <w:szCs w:val="21"/>
          <w:highlight w:val="none"/>
        </w:rPr>
        <w:t>3.货物的质量要求</w:t>
      </w:r>
    </w:p>
    <w:p>
      <w:pPr>
        <w:pStyle w:val="24"/>
        <w:snapToGrid w:val="0"/>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3.1中标人向招标人提供的商品质量必须符合《食品安全法》和国家有关食品卫生法规标准。</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3.2豆制品、半成品生产企业具有生产许可证（包括企业食品生产许可证、食品小作坊登记证），符合GB/T22106-2008、GB2712-2014标准国家标准，能提供生产商的产品执行标准。</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3.3蔬菜、水果必须保证新鲜，且符合食品卫生安全法要求，蔬菜、水果需提供农药残留检测单。</w:t>
      </w:r>
    </w:p>
    <w:p>
      <w:pPr>
        <w:pStyle w:val="299"/>
        <w:shd w:val="clear" w:color="auto" w:fill="FFFFFF"/>
        <w:snapToGrid w:val="0"/>
        <w:spacing w:before="0" w:beforeAutospacing="0" w:after="0" w:afterAutospacing="0" w:line="312" w:lineRule="auto"/>
        <w:ind w:firstLine="420" w:firstLineChars="200"/>
        <w:rPr>
          <w:rFonts w:hint="eastAsia"/>
          <w:color w:val="auto"/>
          <w:sz w:val="21"/>
          <w:szCs w:val="21"/>
          <w:highlight w:val="none"/>
        </w:rPr>
      </w:pPr>
      <w:r>
        <w:rPr>
          <w:rFonts w:hint="eastAsia"/>
          <w:color w:val="auto"/>
          <w:sz w:val="21"/>
          <w:szCs w:val="21"/>
          <w:highlight w:val="none"/>
          <w:shd w:val="clear" w:color="auto" w:fill="FFFFFF"/>
        </w:rPr>
        <w:t>3.4成品包装的货物须注有产品名称、制造厂名、厂址、净重、生产许可证号、批号、生产日期、保质期、执行标准号及规格等，包装应完好、</w:t>
      </w:r>
      <w:r>
        <w:rPr>
          <w:rFonts w:hint="eastAsia"/>
          <w:color w:val="auto"/>
          <w:sz w:val="21"/>
          <w:szCs w:val="21"/>
          <w:highlight w:val="none"/>
        </w:rPr>
        <w:t>无损坏、无挤压</w:t>
      </w:r>
      <w:r>
        <w:rPr>
          <w:rFonts w:hint="eastAsia"/>
          <w:color w:val="auto"/>
          <w:sz w:val="21"/>
          <w:szCs w:val="21"/>
          <w:highlight w:val="none"/>
          <w:shd w:val="clear" w:color="auto" w:fill="FFFFFF"/>
        </w:rPr>
        <w:t>，符合国家有关产品质量法规要求。</w:t>
      </w:r>
    </w:p>
    <w:p>
      <w:pPr>
        <w:pStyle w:val="253"/>
        <w:shd w:val="clear" w:color="auto" w:fill="FFFFFF"/>
        <w:snapToGrid w:val="0"/>
        <w:spacing w:before="0" w:beforeAutospacing="0" w:after="0" w:afterAutospacing="0" w:line="312" w:lineRule="auto"/>
        <w:ind w:firstLine="420" w:firstLineChars="200"/>
        <w:rPr>
          <w:rFonts w:hint="eastAsia"/>
          <w:color w:val="auto"/>
          <w:sz w:val="21"/>
          <w:szCs w:val="21"/>
          <w:highlight w:val="none"/>
        </w:rPr>
      </w:pPr>
      <w:r>
        <w:rPr>
          <w:rFonts w:hint="eastAsia"/>
          <w:color w:val="auto"/>
          <w:sz w:val="21"/>
          <w:szCs w:val="21"/>
          <w:highlight w:val="none"/>
          <w:shd w:val="clear" w:color="auto" w:fill="FFFFFF"/>
        </w:rPr>
        <w:t>3.5散装产品严禁冷热混存，以免发生食品变质；不能掺杂使假，应表里如一，应符合散装产品的相关卫生及质量要求；对药性、肥气未脱的蔬菜严禁供给甲方。</w:t>
      </w:r>
    </w:p>
    <w:p>
      <w:pPr>
        <w:pStyle w:val="24"/>
        <w:snapToGrid w:val="0"/>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3.6中标人不得提供以下食品：</w:t>
      </w:r>
    </w:p>
    <w:p>
      <w:pPr>
        <w:pStyle w:val="24"/>
        <w:snapToGrid w:val="0"/>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 腐败变质、油脂酸败、霉变、生虫、污秽不洁、混有异物或者其他感官性状异常、含有毒有害物质或者被有害物质污染，可能对人体健康有害的食品；</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（2）含有致病性寄生虫，微生物或者微生物含量超过国家限定标准的；</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（3）掺假、掺杂、伪造，影响营养、卫生的；</w:t>
      </w:r>
    </w:p>
    <w:p>
      <w:pPr>
        <w:pStyle w:val="24"/>
        <w:snapToGrid w:val="0"/>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（4）用非食品原料加工的，加入非食品用化学物质或者将非食品当作食品的；</w:t>
      </w:r>
    </w:p>
    <w:p>
      <w:pPr>
        <w:pStyle w:val="24"/>
        <w:snapToGrid w:val="0"/>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（5）超过质保期限或不符合食品标签规定的定型包装食品。</w:t>
      </w:r>
    </w:p>
    <w:p>
      <w:pPr>
        <w:pStyle w:val="24"/>
        <w:snapToGrid w:val="0"/>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3.7甲方在乙方配送履约期间须不定期进行实地检查，并送权威性机构进行抽检，所发生的费用由乙方承担。如发现有质量或违约行为，甲方有权终止合同，扣罚</w:t>
      </w:r>
      <w:r>
        <w:rPr>
          <w:rFonts w:hint="eastAsia" w:ascii="宋体" w:hAnsi="宋体" w:cs="宋体"/>
          <w:color w:val="auto"/>
          <w:sz w:val="21"/>
          <w:szCs w:val="21"/>
          <w:highlight w:val="none"/>
          <w:lang w:val="en-US" w:eastAsia="zh-CN"/>
        </w:rPr>
        <w:t>3万元作为违约金</w:t>
      </w:r>
      <w:r>
        <w:rPr>
          <w:rFonts w:hint="eastAsia" w:ascii="宋体" w:hAnsi="宋体" w:cs="宋体"/>
          <w:color w:val="auto"/>
          <w:sz w:val="21"/>
          <w:szCs w:val="21"/>
          <w:highlight w:val="none"/>
        </w:rPr>
        <w:t>，并三年内不得参与本项目采购活动。</w:t>
      </w:r>
    </w:p>
    <w:p>
      <w:pPr>
        <w:pStyle w:val="285"/>
        <w:shd w:val="clear" w:color="auto" w:fill="FFFFFF"/>
        <w:snapToGrid w:val="0"/>
        <w:spacing w:before="0" w:beforeAutospacing="0" w:after="0" w:afterAutospacing="0" w:line="312" w:lineRule="auto"/>
        <w:ind w:firstLine="396" w:firstLineChars="200"/>
        <w:rPr>
          <w:rFonts w:hint="eastAsia"/>
          <w:bCs/>
          <w:color w:val="auto"/>
          <w:spacing w:val="-6"/>
          <w:sz w:val="21"/>
          <w:szCs w:val="21"/>
          <w:highlight w:val="none"/>
        </w:rPr>
      </w:pPr>
      <w:r>
        <w:rPr>
          <w:rFonts w:hint="eastAsia"/>
          <w:bCs/>
          <w:color w:val="auto"/>
          <w:spacing w:val="-6"/>
          <w:sz w:val="21"/>
          <w:szCs w:val="21"/>
          <w:highlight w:val="none"/>
        </w:rPr>
        <w:t>4.安全责任</w:t>
      </w:r>
    </w:p>
    <w:p>
      <w:pPr>
        <w:pStyle w:val="240"/>
        <w:shd w:val="clear" w:color="auto" w:fill="FFFFFF"/>
        <w:snapToGrid w:val="0"/>
        <w:spacing w:before="0" w:beforeAutospacing="0" w:after="0" w:afterAutospacing="0" w:line="312" w:lineRule="auto"/>
        <w:ind w:firstLine="420" w:firstLineChars="200"/>
        <w:rPr>
          <w:rFonts w:hint="eastAsia"/>
          <w:bCs/>
          <w:color w:val="auto"/>
          <w:sz w:val="21"/>
          <w:szCs w:val="21"/>
          <w:highlight w:val="none"/>
        </w:rPr>
      </w:pPr>
      <w:r>
        <w:rPr>
          <w:rFonts w:hint="eastAsia"/>
          <w:bCs/>
          <w:color w:val="auto"/>
          <w:sz w:val="21"/>
          <w:szCs w:val="21"/>
          <w:highlight w:val="none"/>
        </w:rPr>
        <w:t>中标人对所提供商品的安全质量负责，并承担因质量问题的引起的一切法律责任以及赔偿责任。</w:t>
      </w:r>
    </w:p>
    <w:p>
      <w:pPr>
        <w:pStyle w:val="56"/>
        <w:shd w:val="clear" w:color="auto" w:fill="FFFFFF"/>
        <w:snapToGrid w:val="0"/>
        <w:spacing w:before="0" w:beforeAutospacing="0" w:after="0" w:afterAutospacing="0" w:line="312" w:lineRule="auto"/>
        <w:ind w:firstLine="420" w:firstLineChars="200"/>
        <w:rPr>
          <w:rFonts w:hint="eastAsia" w:cs="宋体"/>
          <w:bCs/>
          <w:color w:val="auto"/>
          <w:sz w:val="21"/>
          <w:szCs w:val="21"/>
          <w:highlight w:val="none"/>
        </w:rPr>
      </w:pPr>
      <w:r>
        <w:rPr>
          <w:rFonts w:hint="eastAsia" w:cs="宋体"/>
          <w:bCs/>
          <w:color w:val="auto"/>
          <w:sz w:val="21"/>
          <w:szCs w:val="21"/>
          <w:highlight w:val="none"/>
        </w:rPr>
        <w:t>5.其他要求</w:t>
      </w:r>
    </w:p>
    <w:p>
      <w:pPr>
        <w:pStyle w:val="24"/>
        <w:snapToGrid w:val="0"/>
        <w:spacing w:line="312"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5.1中标人不得超越范围以外供货，不得搞商品搭售的；</w:t>
      </w:r>
    </w:p>
    <w:p>
      <w:pPr>
        <w:pStyle w:val="24"/>
        <w:snapToGrid w:val="0"/>
        <w:spacing w:line="312"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5.2中标人不得开具虚假的食品购物清单和税务发票。</w:t>
      </w:r>
    </w:p>
    <w:p>
      <w:pPr>
        <w:pStyle w:val="24"/>
        <w:snapToGrid w:val="0"/>
        <w:spacing w:line="312"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5.3中标人不得向招标人工作人员馈赠任何物品、现金等。</w:t>
      </w:r>
    </w:p>
    <w:p>
      <w:pPr>
        <w:pStyle w:val="56"/>
        <w:shd w:val="clear" w:color="auto" w:fill="FFFFFF"/>
        <w:snapToGrid w:val="0"/>
        <w:spacing w:before="0" w:beforeAutospacing="0" w:after="0" w:afterAutospacing="0" w:line="312" w:lineRule="auto"/>
        <w:ind w:firstLine="420" w:firstLineChars="200"/>
        <w:rPr>
          <w:rFonts w:hint="eastAsia" w:cs="宋体"/>
          <w:bCs/>
          <w:color w:val="auto"/>
          <w:sz w:val="21"/>
          <w:szCs w:val="21"/>
          <w:highlight w:val="none"/>
        </w:rPr>
      </w:pPr>
      <w:r>
        <w:rPr>
          <w:rFonts w:hint="eastAsia" w:cs="宋体"/>
          <w:bCs/>
          <w:color w:val="auto"/>
          <w:sz w:val="21"/>
          <w:szCs w:val="21"/>
          <w:highlight w:val="none"/>
        </w:rPr>
        <w:t>5.4中标人应积极配合招标人做好食堂食品定点供应的采购、验收、退还等工作。</w:t>
      </w:r>
    </w:p>
    <w:p>
      <w:pPr>
        <w:pStyle w:val="56"/>
        <w:shd w:val="clear" w:color="auto" w:fill="FFFFFF"/>
        <w:snapToGrid w:val="0"/>
        <w:spacing w:before="0" w:beforeAutospacing="0" w:after="0" w:afterAutospacing="0" w:line="312" w:lineRule="auto"/>
        <w:ind w:firstLine="420" w:firstLineChars="200"/>
        <w:rPr>
          <w:rFonts w:hint="eastAsia" w:cs="宋体"/>
          <w:bCs/>
          <w:color w:val="auto"/>
          <w:sz w:val="21"/>
          <w:szCs w:val="21"/>
          <w:highlight w:val="none"/>
          <w:shd w:val="clear" w:color="auto" w:fill="FFFFFF"/>
        </w:rPr>
      </w:pPr>
      <w:r>
        <w:rPr>
          <w:rFonts w:hint="eastAsia" w:cs="宋体"/>
          <w:bCs/>
          <w:color w:val="auto"/>
          <w:sz w:val="21"/>
          <w:szCs w:val="21"/>
          <w:highlight w:val="none"/>
        </w:rPr>
        <w:t>5.5</w:t>
      </w:r>
      <w:r>
        <w:rPr>
          <w:rFonts w:hint="eastAsia" w:cs="宋体"/>
          <w:bCs/>
          <w:color w:val="auto"/>
          <w:sz w:val="21"/>
          <w:szCs w:val="21"/>
          <w:highlight w:val="none"/>
          <w:shd w:val="clear" w:color="auto" w:fill="FFFFFF"/>
        </w:rPr>
        <w:t>要求能做到每日配送。</w:t>
      </w:r>
    </w:p>
    <w:p>
      <w:pPr>
        <w:pStyle w:val="56"/>
        <w:shd w:val="clear" w:color="auto" w:fill="FFFFFF"/>
        <w:snapToGrid w:val="0"/>
        <w:spacing w:before="0" w:beforeAutospacing="0" w:after="0" w:afterAutospacing="0" w:line="312" w:lineRule="auto"/>
        <w:ind w:firstLine="420" w:firstLineChars="200"/>
        <w:rPr>
          <w:rFonts w:hint="eastAsia" w:cs="宋体"/>
          <w:bCs/>
          <w:color w:val="auto"/>
          <w:sz w:val="21"/>
          <w:szCs w:val="21"/>
          <w:highlight w:val="none"/>
        </w:rPr>
      </w:pPr>
      <w:r>
        <w:rPr>
          <w:rFonts w:hint="eastAsia" w:cs="宋体"/>
          <w:bCs/>
          <w:color w:val="auto"/>
          <w:sz w:val="21"/>
          <w:szCs w:val="21"/>
          <w:highlight w:val="none"/>
        </w:rPr>
        <w:t>6.产品质量</w:t>
      </w:r>
    </w:p>
    <w:p>
      <w:pPr>
        <w:snapToGrid w:val="0"/>
        <w:spacing w:line="312"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6.1豆制品类</w:t>
      </w:r>
    </w:p>
    <w:p>
      <w:pPr>
        <w:pStyle w:val="56"/>
        <w:adjustRightInd w:val="0"/>
        <w:snapToGrid w:val="0"/>
        <w:spacing w:before="0" w:beforeAutospacing="0" w:after="0" w:afterAutospacing="0" w:line="312" w:lineRule="auto"/>
        <w:ind w:firstLine="422" w:firstLineChars="200"/>
        <w:rPr>
          <w:rFonts w:hint="eastAsia" w:cs="宋体"/>
          <w:b/>
          <w:color w:val="auto"/>
          <w:sz w:val="21"/>
          <w:szCs w:val="21"/>
          <w:highlight w:val="none"/>
        </w:rPr>
      </w:pPr>
      <w:r>
        <w:rPr>
          <w:rFonts w:hint="eastAsia" w:cs="宋体"/>
          <w:b/>
          <w:color w:val="auto"/>
          <w:sz w:val="21"/>
          <w:szCs w:val="21"/>
          <w:highlight w:val="none"/>
        </w:rPr>
        <w:t>豆腐</w:t>
      </w:r>
    </w:p>
    <w:p>
      <w:pPr>
        <w:widowControl/>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豆腐呈均匀的乳白色或淡黄色，稍有光泽，块形完整，软硬适度，富有一定的弹性，质地细嫩，结构均匀，无杂质，具有豆腐特有的香味，取样品品尝时口感细腻鲜嫩，味道纯正清香。</w:t>
      </w:r>
    </w:p>
    <w:p>
      <w:pPr>
        <w:widowControl/>
        <w:snapToGrid w:val="0"/>
        <w:spacing w:line="312"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豆腐泡</w:t>
      </w:r>
    </w:p>
    <w:p>
      <w:pPr>
        <w:widowControl/>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为金黄色或棕黄色，色彩鲜艳而有光泽，块形整齐，有弹性，皮脆，内质呈蜂窝状，不粘不散，无杂质，具有豆腐泡特有的清香风味，无其他任何不良气味，取样品细细咀嚼，外皮酥脆适口，泡内软嫩，咸香适度，具有豆腐泡固有的滋味。</w:t>
      </w:r>
    </w:p>
    <w:p>
      <w:pPr>
        <w:snapToGrid w:val="0"/>
        <w:spacing w:line="312"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腐竹</w:t>
      </w:r>
    </w:p>
    <w:p>
      <w:pPr>
        <w:widowControl/>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为枝条或片叶状，质脆易折，条状折断有空心，无霉斑、杂质、虫蛀。呈淡黄色，有光泽。具有腐竹固有的香味，无其他任何异味，取样品品尝其滋味，具有腐竹固有的鲜香滋味。</w:t>
      </w:r>
    </w:p>
    <w:p>
      <w:pPr>
        <w:widowControl/>
        <w:snapToGrid w:val="0"/>
        <w:spacing w:line="312"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腐乳</w:t>
      </w:r>
    </w:p>
    <w:p>
      <w:pPr>
        <w:widowControl/>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红腐乳表面呈红色或枣红色，内部呈杏黄色，色泽鲜艳，有光泽。白腐乳外表呈乳黄色。块形整齐均匀，质地细腻，无霉斑、霉变及杂质。具有各品种的腐乳特有的香味或特征气味，无任何其他异味，滋味鲜美，咸淡适口，无任何其他异味。</w:t>
      </w:r>
    </w:p>
    <w:p>
      <w:pPr>
        <w:widowControl/>
        <w:snapToGrid w:val="0"/>
        <w:spacing w:line="312"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大豆</w:t>
      </w:r>
    </w:p>
    <w:p>
      <w:pPr>
        <w:widowControl/>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大豆根据其种皮颜色和粒形可分为黄大豆、青大豆、黑大豆、其他大豆（赤色、褐色、棕色等）和饲料豆（秣食豆）五类。</w:t>
      </w:r>
    </w:p>
    <w:p>
      <w:pPr>
        <w:widowControl/>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大豆皮色呈各种大豆固有的颜色，光彩油亮，洁净而有光泽，颗粒饱满，整齐均匀，无虫蛀粒，无杂质，无霉变。</w:t>
      </w:r>
    </w:p>
    <w:p>
      <w:pPr>
        <w:widowControl/>
        <w:snapToGrid w:val="0"/>
        <w:spacing w:line="312"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花生</w:t>
      </w:r>
    </w:p>
    <w:p>
      <w:pPr>
        <w:widowControl/>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果荚呈土黄色或白色，果仁呈各不同品种所特有的颜色，色泽分布均匀一致，带荚花生和去荚果仁均颗粒饱满、形态完整、大小均匀，子叶肥厚而有光泽，无杂质，具有花生特有的气味、香味，无任何异味。</w:t>
      </w:r>
    </w:p>
    <w:p>
      <w:pPr>
        <w:snapToGrid w:val="0"/>
        <w:spacing w:line="312"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6.2蔬菜类</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从蔬菜色泽看，各种蔬菜都应具有本品种固有的颜色，大多数有发亮的光泽，以此显示蔬菜的成熟度及鲜嫩程度；</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从蔬菜气味看，多数蔬菜具有清馨、甘辛香、甜酸香等气味，可凭嗅觉识别不同品种的质量，不允许有腐烂变质的亚硝酸盐味和其他异常气味；</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从蔬菜滋味看，因品种不同而各异，多数蔬菜滋味甘淡、甜酸、清爽鲜美，少数具有辛酸、苦涩等特殊风味以刺激食欲，如失去本品种原有的滋即为异常；</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从蔬菜形态看，应尽量避免由于客观因素而造成的各种非正常、不新鲜的蔬菜，例如萎蔫、枯塌、损伤、病变、虫害侵蚀等引起的形态异常等。</w:t>
      </w:r>
    </w:p>
    <w:p>
      <w:pPr>
        <w:snapToGrid w:val="0"/>
        <w:spacing w:line="312"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叶菜类：</w:t>
      </w:r>
      <w:r>
        <w:rPr>
          <w:rFonts w:hint="eastAsia" w:ascii="宋体" w:hAnsi="宋体" w:cs="宋体"/>
          <w:color w:val="auto"/>
          <w:szCs w:val="21"/>
          <w:highlight w:val="none"/>
        </w:rPr>
        <w:t>大白菜、小白菜、菠菜、甘蓝、荠菜、空心菜、茼蒿、苋菜、芹菜等绿叶菜类。</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属同一品种规格，肉质鲜嫩形态好，色泽正常，茎基部削平，无枯黄叶、病叶、泥土、明显机械伤和病虫害伤，无烧心焦边、腐烂等现象，无抽苔（菜心除外），无异味，结球叶菜要结球适度，花椰菜应新鲜洁白，不带叶麸，无畸形花。</w:t>
      </w:r>
    </w:p>
    <w:p>
      <w:pPr>
        <w:snapToGrid w:val="0"/>
        <w:spacing w:line="312"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茄果类：</w:t>
      </w:r>
      <w:r>
        <w:rPr>
          <w:rFonts w:hint="eastAsia" w:ascii="宋体" w:hAnsi="宋体" w:cs="宋体"/>
          <w:color w:val="auto"/>
          <w:szCs w:val="21"/>
          <w:highlight w:val="none"/>
        </w:rPr>
        <w:t>番茄、茄子、甜椒、辣椒等。</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属同一品种规格，果实整洁，成熟度适中，无裂果及空洞现象，茄果不能有裂蒂及果皮变硬现象，无腐烂、异味，无明显机械伤。</w:t>
      </w:r>
    </w:p>
    <w:p>
      <w:pPr>
        <w:snapToGrid w:val="0"/>
        <w:spacing w:line="312"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瓜果类：</w:t>
      </w:r>
      <w:r>
        <w:rPr>
          <w:rFonts w:hint="eastAsia" w:ascii="宋体" w:hAnsi="宋体" w:cs="宋体"/>
          <w:color w:val="auto"/>
          <w:szCs w:val="21"/>
          <w:highlight w:val="none"/>
        </w:rPr>
        <w:t>黄瓜、冬瓜、丝瓜、苦瓜、南瓜、毛节瓜等。</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属同一品种规格，色泽一致，无疤点，无断裂，无腐烂、异味、明显机械伤，不带泥土。</w:t>
      </w:r>
    </w:p>
    <w:p>
      <w:pPr>
        <w:snapToGrid w:val="0"/>
        <w:spacing w:line="312"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根菜类：</w:t>
      </w:r>
      <w:r>
        <w:rPr>
          <w:rFonts w:hint="eastAsia" w:ascii="宋体" w:hAnsi="宋体" w:cs="宋体"/>
          <w:color w:val="auto"/>
          <w:szCs w:val="21"/>
          <w:highlight w:val="none"/>
        </w:rPr>
        <w:t>萝卜、胡萝卜等。</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属同一品种规格，皮细光滑，肉质脆嫩致密新鲜，无腐烂、裂痕、糠心、异味，不带泥沙，不带茎叶和须根。</w:t>
      </w:r>
    </w:p>
    <w:p>
      <w:pPr>
        <w:snapToGrid w:val="0"/>
        <w:spacing w:line="312"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薯芋类：</w:t>
      </w:r>
      <w:r>
        <w:rPr>
          <w:rFonts w:hint="eastAsia" w:ascii="宋体" w:hAnsi="宋体" w:cs="宋体"/>
          <w:color w:val="auto"/>
          <w:szCs w:val="21"/>
          <w:highlight w:val="none"/>
        </w:rPr>
        <w:t>马铃薯、芋、姜等。</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属同一品种规格，色泽一致，不带泥沙，不带须根、茎叶，不干瘪，无腐烂、异味、明显机械伤、病虫害斑，马铃薯无发芽，皮不变绿。</w:t>
      </w:r>
    </w:p>
    <w:p>
      <w:pPr>
        <w:snapToGrid w:val="0"/>
        <w:spacing w:line="312"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葱蒜类：</w:t>
      </w:r>
      <w:r>
        <w:rPr>
          <w:rFonts w:hint="eastAsia" w:ascii="宋体" w:hAnsi="宋体" w:cs="宋体"/>
          <w:color w:val="auto"/>
          <w:szCs w:val="21"/>
          <w:highlight w:val="none"/>
        </w:rPr>
        <w:t>葱、蒜、韭菜、洋葱等。</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属同一品种规格，允许葱、青蒜类保留干净须根，葱、蒜、韭菜不带老叶，蒜头、洋葱去根去枯叶，可食部分新鲜幼嫩，无腐烂、异味。</w:t>
      </w:r>
    </w:p>
    <w:p>
      <w:pPr>
        <w:snapToGrid w:val="0"/>
        <w:spacing w:line="312"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水生菜类：</w:t>
      </w:r>
      <w:r>
        <w:rPr>
          <w:rFonts w:hint="eastAsia" w:ascii="宋体" w:hAnsi="宋体" w:cs="宋体"/>
          <w:color w:val="auto"/>
          <w:szCs w:val="21"/>
          <w:highlight w:val="none"/>
        </w:rPr>
        <w:t>藕、慈菇、茭白、马蹄、菱等。</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属同一品种规格，肉质嫩，成熟度适中，无腐烂、异味，无明显机械伤，不带泥土和杂质，不干瘪，茭白不黑心。</w:t>
      </w:r>
    </w:p>
    <w:p>
      <w:pPr>
        <w:snapToGrid w:val="0"/>
        <w:spacing w:line="312"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芽苗类：</w:t>
      </w:r>
      <w:r>
        <w:rPr>
          <w:rFonts w:hint="eastAsia" w:ascii="宋体" w:hAnsi="宋体" w:cs="宋体"/>
          <w:color w:val="auto"/>
          <w:szCs w:val="21"/>
          <w:highlight w:val="none"/>
        </w:rPr>
        <w:t>绿豆芽、黄豆芽、香樁苗等。</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芽苗幼嫩，不带豆壳杂质，新鲜，不浸水，无腐烂、异味。</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二、总体要求</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1.投标人应充分理解并认真遵循本磋商文件的要求，所提供的物品必须是满足磋商文件要求，必须符合《中华人民共和国食品卫生法》、《中华人民共和国食品安全法》要求。</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2.所提供的物品必须符合国家行业生产及经营标准，货真价实，均能提供相应批次的合格检验证明。</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3.所提供的物品必须各项技术指标完全符合国家有关质量检测、环保标准及产品出厂标准。</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4.所有货物指标要符合国家强制性标准要求。</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5.磋商文件中列明的每种货物，采购人没有义务确保采购量，请投标人自行承担采购风险。</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6.如发现文件有缺漏或不一致或有不同的理解时，应及时提请采购人补充和澄清，否则，按项目的实际要求和采购人的理解执行。</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7.中标人必须负责中标货物的运输（送货车辆车厢必须有该公司标识）、交货质量检测、搬运等工作，所产生的费用由中标人负责。</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8.中标人不得将中标项目转让分包给他人，一经发现，采购人有权终止合同由此产生的一切经济损失由中标人自行承担。</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9.中标人除不可抗力，不得因其他任何理由延迟送货。采购人如遇特殊情况需推迟送货，应提前通知中标人。因中标人原因延误交货日期的（采购人要求推迟的除外），采购人有权自行采购，并由中标人承担由此产生的一切损失和费用。</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10.中标人须开具国家正式发票。中标人按供应物品的销售额开具发票（每月结算支付一次，即在每月25日前支付结算上月货款）。</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11.投标报价应以人民币为结算单位（含税），投标报价须包括：产品的价款、税费、包装、运输、装卸、验收合格交付使用之前以及售后服务等其他各项有关费用。采购人除了按投标报价为计算单位向中标人支付货款外，无须向中标人支付其他任何费用。</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12.采购人尽最大能力提供本次项目的所有必要信息，但不承担由于信息披露的缺陷所带来的任何责任。</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13.中标人必须按采购人每次订购物品的数量、种类进行供货，不得出现短斤缺两，或故意多送、错送，（要确保品质，不得出现腐烂蔬菜或以次充好，否则予以退回，除扣除当日费用外，将按所退费用再处罚三倍金额。）否则中标人需自行承担相关后果。</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14.如遇特殊接待任务或特殊时期工作要求的，中标人需无条件配合采购人要求，随传随到、增派人员、第一时间完成采购人交待的任务。</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15.在可预知的恶劣天气或节假日货源紧张时，需提前配送，以保证物品正常供应。</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三、安全责任</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中标人对所提供商品的安全质量负责，并承担因质量问题的引起的一切法律责任以及赔偿责任。</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四、配送时间要求</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1.中标人收到采购计划后，2小时内送到采购人指定地点。</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2.招标人临时急需供应商供货，供应商应按要求在30分钟内作出响应并配送到位。</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3.验收不合格的产品的替换须在接到替换通知后30分钟内送达。</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五、付款方式</w:t>
      </w:r>
    </w:p>
    <w:p>
      <w:pPr>
        <w:pStyle w:val="2"/>
        <w:spacing w:line="312" w:lineRule="auto"/>
        <w:ind w:firstLine="396" w:firstLineChars="200"/>
        <w:rPr>
          <w:rFonts w:hint="eastAsia" w:ascii="宋体" w:hAnsi="宋体" w:eastAsia="宋体" w:cs="宋体"/>
          <w:b w:val="0"/>
          <w:bCs w:val="0"/>
          <w:color w:val="auto"/>
          <w:spacing w:val="-6"/>
          <w:sz w:val="21"/>
          <w:szCs w:val="21"/>
          <w:highlight w:val="none"/>
        </w:rPr>
      </w:pPr>
      <w:r>
        <w:rPr>
          <w:rFonts w:hint="eastAsia" w:ascii="宋体" w:hAnsi="宋体" w:eastAsia="宋体" w:cs="宋体"/>
          <w:b w:val="0"/>
          <w:bCs w:val="0"/>
          <w:color w:val="auto"/>
          <w:spacing w:val="-6"/>
          <w:sz w:val="21"/>
          <w:szCs w:val="21"/>
          <w:highlight w:val="none"/>
        </w:rPr>
        <w:t>货款每月结算一次，先供货后结算，结算时间为次月25日前（节假日顺延）。每次结算须将上月的送货清单、验收单据与配送指定食堂进行核对，核对无误后，开具正式发票，以银行转账方式将上月的货款于次月汇入供应商指定账户。</w:t>
      </w:r>
    </w:p>
    <w:bookmarkEnd w:id="80"/>
    <w:p>
      <w:pPr>
        <w:spacing w:line="360" w:lineRule="auto"/>
        <w:ind w:firstLine="480" w:firstLineChars="200"/>
        <w:rPr>
          <w:rFonts w:hint="eastAsia" w:ascii="宋体" w:hAnsi="宋体" w:eastAsia="宋体" w:cs="宋体"/>
          <w:strike/>
          <w:dstrike w:val="0"/>
          <w:color w:val="FF0000"/>
          <w:sz w:val="24"/>
          <w:szCs w:val="24"/>
          <w:highlight w:val="none"/>
          <w:u w:val="single"/>
          <w:lang w:val="en-US" w:eastAsia="zh-CN"/>
        </w:rPr>
      </w:pPr>
    </w:p>
    <w:p>
      <w:pPr>
        <w:snapToGrid w:val="0"/>
        <w:spacing w:line="312" w:lineRule="auto"/>
        <w:jc w:val="center"/>
        <w:outlineLvl w:val="0"/>
        <w:rPr>
          <w:rFonts w:hint="eastAsia" w:ascii="宋体" w:hAnsi="宋体" w:cs="宋体"/>
          <w:b/>
          <w:color w:val="auto"/>
          <w:szCs w:val="21"/>
          <w:highlight w:val="none"/>
        </w:rPr>
      </w:pPr>
      <w:r>
        <w:rPr>
          <w:rFonts w:hint="eastAsia" w:ascii="宋体" w:hAnsi="宋体" w:cs="宋体"/>
          <w:b/>
          <w:color w:val="auto"/>
          <w:szCs w:val="21"/>
          <w:highlight w:val="none"/>
        </w:rPr>
        <w:br w:type="page"/>
      </w:r>
      <w:bookmarkStart w:id="81" w:name="_Toc10768"/>
      <w:r>
        <w:rPr>
          <w:rFonts w:hint="eastAsia" w:ascii="宋体" w:hAnsi="宋体" w:cs="宋体"/>
          <w:b/>
          <w:color w:val="auto"/>
          <w:szCs w:val="21"/>
          <w:highlight w:val="none"/>
        </w:rPr>
        <w:t>第四章 合同主要条款</w:t>
      </w:r>
      <w:bookmarkEnd w:id="76"/>
      <w:bookmarkEnd w:id="77"/>
      <w:bookmarkEnd w:id="81"/>
    </w:p>
    <w:p>
      <w:pPr>
        <w:spacing w:line="312" w:lineRule="auto"/>
        <w:jc w:val="center"/>
        <w:outlineLvl w:val="0"/>
        <w:rPr>
          <w:rFonts w:hint="eastAsia" w:ascii="宋体" w:hAnsi="宋体" w:cs="宋体"/>
          <w:color w:val="auto"/>
          <w:szCs w:val="21"/>
          <w:highlight w:val="none"/>
        </w:rPr>
      </w:pPr>
      <w:bookmarkStart w:id="82" w:name="_Toc10832"/>
      <w:bookmarkStart w:id="83" w:name="_Toc21298"/>
      <w:bookmarkStart w:id="84" w:name="_Toc25094"/>
      <w:r>
        <w:rPr>
          <w:rFonts w:hint="eastAsia" w:ascii="宋体" w:hAnsi="宋体" w:cs="宋体"/>
          <w:color w:val="auto"/>
          <w:szCs w:val="21"/>
          <w:highlight w:val="none"/>
        </w:rPr>
        <w:t>（以实际签订的条款为准</w:t>
      </w:r>
      <w:bookmarkEnd w:id="82"/>
      <w:r>
        <w:rPr>
          <w:rFonts w:hint="eastAsia" w:ascii="宋体" w:hAnsi="宋体" w:cs="宋体"/>
          <w:color w:val="auto"/>
          <w:szCs w:val="21"/>
          <w:highlight w:val="none"/>
        </w:rPr>
        <w:t>）</w:t>
      </w:r>
      <w:bookmarkEnd w:id="83"/>
      <w:bookmarkEnd w:id="84"/>
    </w:p>
    <w:p>
      <w:pPr>
        <w:spacing w:line="312" w:lineRule="auto"/>
        <w:jc w:val="right"/>
        <w:rPr>
          <w:rFonts w:hint="eastAsia" w:ascii="宋体" w:hAnsi="宋体" w:cs="宋体"/>
          <w:color w:val="auto"/>
          <w:szCs w:val="21"/>
          <w:highlight w:val="none"/>
        </w:rPr>
      </w:pPr>
      <w:r>
        <w:rPr>
          <w:rFonts w:hint="eastAsia" w:ascii="宋体" w:hAnsi="宋体" w:cs="宋体"/>
          <w:color w:val="auto"/>
          <w:szCs w:val="21"/>
          <w:highlight w:val="none"/>
        </w:rPr>
        <w:t xml:space="preserve">                                         </w:t>
      </w:r>
    </w:p>
    <w:p>
      <w:pPr>
        <w:spacing w:line="312" w:lineRule="auto"/>
        <w:rPr>
          <w:rFonts w:hint="eastAsia" w:ascii="宋体" w:hAnsi="宋体" w:cs="宋体"/>
          <w:color w:val="auto"/>
          <w:szCs w:val="21"/>
          <w:highlight w:val="none"/>
        </w:rPr>
      </w:pPr>
      <w:r>
        <w:rPr>
          <w:rFonts w:hint="eastAsia" w:ascii="宋体" w:hAnsi="宋体" w:cs="宋体"/>
          <w:color w:val="auto"/>
          <w:szCs w:val="21"/>
          <w:highlight w:val="none"/>
        </w:rPr>
        <w:t xml:space="preserve">采购方: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（以下简称甲方）</w:t>
      </w:r>
    </w:p>
    <w:p>
      <w:pPr>
        <w:autoSpaceDE w:val="0"/>
        <w:autoSpaceDN w:val="0"/>
        <w:adjustRightInd w:val="0"/>
        <w:snapToGrid w:val="0"/>
        <w:spacing w:line="312" w:lineRule="auto"/>
        <w:textAlignment w:val="bottom"/>
        <w:rPr>
          <w:rFonts w:hint="eastAsia" w:ascii="宋体" w:hAnsi="宋体" w:cs="宋体"/>
          <w:color w:val="auto"/>
          <w:szCs w:val="21"/>
          <w:highlight w:val="none"/>
        </w:rPr>
      </w:pPr>
      <w:r>
        <w:rPr>
          <w:rFonts w:hint="eastAsia" w:ascii="宋体" w:hAnsi="宋体" w:cs="宋体"/>
          <w:color w:val="auto"/>
          <w:szCs w:val="21"/>
          <w:highlight w:val="none"/>
        </w:rPr>
        <w:t xml:space="preserve">供应商: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（以下简称乙方）</w:t>
      </w:r>
    </w:p>
    <w:p>
      <w:pPr>
        <w:pStyle w:val="32"/>
        <w:snapToGrid w:val="0"/>
        <w:spacing w:line="312" w:lineRule="auto"/>
        <w:ind w:firstLine="420" w:firstLineChars="200"/>
        <w:rPr>
          <w:rStyle w:val="117"/>
          <w:rFonts w:hint="eastAsia" w:cs="宋体"/>
          <w:color w:val="auto"/>
          <w:sz w:val="21"/>
          <w:szCs w:val="21"/>
          <w:highlight w:val="none"/>
        </w:rPr>
      </w:pPr>
      <w:r>
        <w:rPr>
          <w:rStyle w:val="117"/>
          <w:rFonts w:hint="eastAsia" w:cs="宋体"/>
          <w:color w:val="auto"/>
          <w:sz w:val="21"/>
          <w:szCs w:val="21"/>
          <w:highlight w:val="none"/>
        </w:rPr>
        <w:t>经竞争性磋商程序，确定乙方为甲方</w:t>
      </w:r>
      <w:r>
        <w:rPr>
          <w:rStyle w:val="117"/>
          <w:rFonts w:hint="eastAsia" w:cs="宋体"/>
          <w:color w:val="auto"/>
          <w:sz w:val="21"/>
          <w:szCs w:val="21"/>
          <w:highlight w:val="none"/>
          <w:u w:val="single"/>
          <w:lang w:val="en-US"/>
        </w:rPr>
        <w:t xml:space="preserve"> </w:t>
      </w:r>
      <w:r>
        <w:rPr>
          <w:rStyle w:val="117"/>
          <w:rFonts w:hint="eastAsia" w:cs="宋体"/>
          <w:color w:val="auto"/>
          <w:sz w:val="21"/>
          <w:szCs w:val="21"/>
          <w:highlight w:val="none"/>
          <w:u w:val="single"/>
        </w:rPr>
        <w:t>衢州市第三医院2022-2024年度食堂蔬菜（包括干货、豆制品、半成品食品）及水果配送采购项目</w:t>
      </w:r>
      <w:r>
        <w:rPr>
          <w:rStyle w:val="117"/>
          <w:rFonts w:hint="eastAsia" w:cs="宋体"/>
          <w:color w:val="auto"/>
          <w:sz w:val="21"/>
          <w:szCs w:val="21"/>
          <w:highlight w:val="none"/>
          <w:u w:val="single"/>
          <w:lang w:val="en-US"/>
        </w:rPr>
        <w:t xml:space="preserve"> </w:t>
      </w:r>
      <w:r>
        <w:rPr>
          <w:rStyle w:val="117"/>
          <w:rFonts w:hint="eastAsia" w:cs="宋体"/>
          <w:color w:val="auto"/>
          <w:sz w:val="21"/>
          <w:szCs w:val="21"/>
          <w:highlight w:val="none"/>
        </w:rPr>
        <w:t>供应商，根据《中华人民共和国民法典》等法规的规定，为明确双方的权利和义务，经甲乙双方协商</w:t>
      </w:r>
      <w:r>
        <w:rPr>
          <w:rFonts w:hint="eastAsia" w:hAnsi="宋体" w:cs="宋体"/>
          <w:color w:val="auto"/>
          <w:szCs w:val="21"/>
          <w:highlight w:val="none"/>
        </w:rPr>
        <w:t>一致，订立本合同。</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85" w:name="_Toc12288"/>
      <w:r>
        <w:rPr>
          <w:rFonts w:hint="eastAsia" w:ascii="宋体" w:hAnsi="宋体" w:cs="宋体"/>
          <w:bCs/>
          <w:color w:val="auto"/>
          <w:szCs w:val="21"/>
          <w:highlight w:val="none"/>
        </w:rPr>
        <w:t>一、供货清单</w:t>
      </w:r>
      <w:bookmarkEnd w:id="85"/>
    </w:p>
    <w:tbl>
      <w:tblPr>
        <w:tblStyle w:val="61"/>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160"/>
        <w:gridCol w:w="2880"/>
        <w:gridCol w:w="18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8" w:type="dxa"/>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货物名称</w:t>
            </w:r>
          </w:p>
        </w:tc>
        <w:tc>
          <w:tcPr>
            <w:tcW w:w="2160" w:type="dxa"/>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品牌</w:t>
            </w:r>
          </w:p>
        </w:tc>
        <w:tc>
          <w:tcPr>
            <w:tcW w:w="2880" w:type="dxa"/>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生产厂家</w:t>
            </w:r>
          </w:p>
        </w:tc>
        <w:tc>
          <w:tcPr>
            <w:tcW w:w="1800" w:type="dxa"/>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规格</w:t>
            </w:r>
          </w:p>
        </w:tc>
        <w:tc>
          <w:tcPr>
            <w:tcW w:w="1260" w:type="dxa"/>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8" w:type="dxa"/>
            <w:noWrap w:val="0"/>
            <w:vAlign w:val="center"/>
          </w:tcPr>
          <w:p>
            <w:pPr>
              <w:spacing w:line="312" w:lineRule="auto"/>
              <w:jc w:val="center"/>
              <w:rPr>
                <w:rFonts w:hint="eastAsia" w:ascii="宋体" w:hAnsi="宋体" w:cs="宋体"/>
                <w:color w:val="auto"/>
                <w:szCs w:val="21"/>
                <w:highlight w:val="none"/>
              </w:rPr>
            </w:pPr>
          </w:p>
        </w:tc>
        <w:tc>
          <w:tcPr>
            <w:tcW w:w="2160" w:type="dxa"/>
            <w:noWrap w:val="0"/>
            <w:vAlign w:val="center"/>
          </w:tcPr>
          <w:p>
            <w:pPr>
              <w:spacing w:line="312" w:lineRule="auto"/>
              <w:jc w:val="center"/>
              <w:rPr>
                <w:rFonts w:hint="eastAsia" w:ascii="宋体" w:hAnsi="宋体" w:cs="宋体"/>
                <w:color w:val="auto"/>
                <w:szCs w:val="21"/>
                <w:highlight w:val="none"/>
              </w:rPr>
            </w:pPr>
          </w:p>
        </w:tc>
        <w:tc>
          <w:tcPr>
            <w:tcW w:w="2880" w:type="dxa"/>
            <w:noWrap w:val="0"/>
            <w:vAlign w:val="center"/>
          </w:tcPr>
          <w:p>
            <w:pPr>
              <w:spacing w:line="312" w:lineRule="auto"/>
              <w:jc w:val="center"/>
              <w:rPr>
                <w:rFonts w:hint="eastAsia" w:ascii="宋体" w:hAnsi="宋体" w:cs="宋体"/>
                <w:color w:val="auto"/>
                <w:szCs w:val="21"/>
                <w:highlight w:val="none"/>
              </w:rPr>
            </w:pPr>
          </w:p>
        </w:tc>
        <w:tc>
          <w:tcPr>
            <w:tcW w:w="1800" w:type="dxa"/>
            <w:noWrap w:val="0"/>
            <w:vAlign w:val="center"/>
          </w:tcPr>
          <w:p>
            <w:pPr>
              <w:spacing w:line="312" w:lineRule="auto"/>
              <w:jc w:val="center"/>
              <w:rPr>
                <w:rFonts w:hint="eastAsia" w:ascii="宋体" w:hAnsi="宋体" w:cs="宋体"/>
                <w:color w:val="auto"/>
                <w:szCs w:val="21"/>
                <w:highlight w:val="none"/>
              </w:rPr>
            </w:pPr>
          </w:p>
        </w:tc>
        <w:tc>
          <w:tcPr>
            <w:tcW w:w="1260" w:type="dxa"/>
            <w:noWrap w:val="0"/>
            <w:vAlign w:val="center"/>
          </w:tcPr>
          <w:p>
            <w:pPr>
              <w:spacing w:line="312" w:lineRule="auto"/>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8" w:type="dxa"/>
            <w:noWrap w:val="0"/>
            <w:vAlign w:val="center"/>
          </w:tcPr>
          <w:p>
            <w:pPr>
              <w:spacing w:line="312" w:lineRule="auto"/>
              <w:jc w:val="center"/>
              <w:rPr>
                <w:rFonts w:hint="eastAsia" w:ascii="宋体" w:hAnsi="宋体" w:cs="宋体"/>
                <w:color w:val="auto"/>
                <w:szCs w:val="21"/>
                <w:highlight w:val="none"/>
              </w:rPr>
            </w:pPr>
          </w:p>
        </w:tc>
        <w:tc>
          <w:tcPr>
            <w:tcW w:w="2160" w:type="dxa"/>
            <w:noWrap w:val="0"/>
            <w:vAlign w:val="center"/>
          </w:tcPr>
          <w:p>
            <w:pPr>
              <w:spacing w:line="312" w:lineRule="auto"/>
              <w:jc w:val="center"/>
              <w:rPr>
                <w:rFonts w:hint="eastAsia" w:ascii="宋体" w:hAnsi="宋体" w:cs="宋体"/>
                <w:color w:val="auto"/>
                <w:szCs w:val="21"/>
                <w:highlight w:val="none"/>
              </w:rPr>
            </w:pPr>
          </w:p>
        </w:tc>
        <w:tc>
          <w:tcPr>
            <w:tcW w:w="2880" w:type="dxa"/>
            <w:noWrap w:val="0"/>
            <w:vAlign w:val="center"/>
          </w:tcPr>
          <w:p>
            <w:pPr>
              <w:spacing w:line="312" w:lineRule="auto"/>
              <w:jc w:val="center"/>
              <w:rPr>
                <w:rFonts w:hint="eastAsia" w:ascii="宋体" w:hAnsi="宋体" w:cs="宋体"/>
                <w:color w:val="auto"/>
                <w:szCs w:val="21"/>
                <w:highlight w:val="none"/>
              </w:rPr>
            </w:pPr>
          </w:p>
        </w:tc>
        <w:tc>
          <w:tcPr>
            <w:tcW w:w="1800" w:type="dxa"/>
            <w:noWrap w:val="0"/>
            <w:vAlign w:val="center"/>
          </w:tcPr>
          <w:p>
            <w:pPr>
              <w:spacing w:line="312" w:lineRule="auto"/>
              <w:jc w:val="center"/>
              <w:rPr>
                <w:rFonts w:hint="eastAsia" w:ascii="宋体" w:hAnsi="宋体" w:cs="宋体"/>
                <w:color w:val="auto"/>
                <w:szCs w:val="21"/>
                <w:highlight w:val="none"/>
              </w:rPr>
            </w:pPr>
          </w:p>
        </w:tc>
        <w:tc>
          <w:tcPr>
            <w:tcW w:w="1260" w:type="dxa"/>
            <w:noWrap w:val="0"/>
            <w:vAlign w:val="center"/>
          </w:tcPr>
          <w:p>
            <w:pPr>
              <w:spacing w:line="312" w:lineRule="auto"/>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548" w:type="dxa"/>
            <w:noWrap w:val="0"/>
            <w:vAlign w:val="center"/>
          </w:tcPr>
          <w:p>
            <w:pPr>
              <w:spacing w:line="312" w:lineRule="auto"/>
              <w:jc w:val="center"/>
              <w:rPr>
                <w:rFonts w:hint="eastAsia" w:ascii="宋体" w:hAnsi="宋体" w:cs="宋体"/>
                <w:color w:val="auto"/>
                <w:szCs w:val="21"/>
                <w:highlight w:val="none"/>
              </w:rPr>
            </w:pPr>
          </w:p>
        </w:tc>
        <w:tc>
          <w:tcPr>
            <w:tcW w:w="2160" w:type="dxa"/>
            <w:noWrap w:val="0"/>
            <w:vAlign w:val="center"/>
          </w:tcPr>
          <w:p>
            <w:pPr>
              <w:spacing w:line="312" w:lineRule="auto"/>
              <w:jc w:val="center"/>
              <w:rPr>
                <w:rFonts w:hint="eastAsia" w:ascii="宋体" w:hAnsi="宋体" w:cs="宋体"/>
                <w:color w:val="auto"/>
                <w:szCs w:val="21"/>
                <w:highlight w:val="none"/>
              </w:rPr>
            </w:pPr>
          </w:p>
        </w:tc>
        <w:tc>
          <w:tcPr>
            <w:tcW w:w="2880" w:type="dxa"/>
            <w:noWrap w:val="0"/>
            <w:vAlign w:val="center"/>
          </w:tcPr>
          <w:p>
            <w:pPr>
              <w:spacing w:line="312" w:lineRule="auto"/>
              <w:jc w:val="center"/>
              <w:rPr>
                <w:rFonts w:hint="eastAsia" w:ascii="宋体" w:hAnsi="宋体" w:cs="宋体"/>
                <w:color w:val="auto"/>
                <w:szCs w:val="21"/>
                <w:highlight w:val="none"/>
              </w:rPr>
            </w:pPr>
          </w:p>
        </w:tc>
        <w:tc>
          <w:tcPr>
            <w:tcW w:w="1800" w:type="dxa"/>
            <w:noWrap w:val="0"/>
            <w:vAlign w:val="center"/>
          </w:tcPr>
          <w:p>
            <w:pPr>
              <w:spacing w:line="312" w:lineRule="auto"/>
              <w:jc w:val="center"/>
              <w:rPr>
                <w:rFonts w:hint="eastAsia" w:ascii="宋体" w:hAnsi="宋体" w:cs="宋体"/>
                <w:color w:val="auto"/>
                <w:szCs w:val="21"/>
                <w:highlight w:val="none"/>
              </w:rPr>
            </w:pPr>
          </w:p>
        </w:tc>
        <w:tc>
          <w:tcPr>
            <w:tcW w:w="1260" w:type="dxa"/>
            <w:noWrap w:val="0"/>
            <w:vAlign w:val="center"/>
          </w:tcPr>
          <w:p>
            <w:pPr>
              <w:spacing w:line="312" w:lineRule="auto"/>
              <w:jc w:val="center"/>
              <w:rPr>
                <w:rFonts w:hint="eastAsia" w:ascii="宋体" w:hAnsi="宋体" w:cs="宋体"/>
                <w:color w:val="auto"/>
                <w:szCs w:val="21"/>
                <w:highlight w:val="none"/>
              </w:rPr>
            </w:pPr>
          </w:p>
        </w:tc>
      </w:tr>
    </w:tbl>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86" w:name="_Toc12271"/>
      <w:r>
        <w:rPr>
          <w:rFonts w:hint="eastAsia" w:ascii="宋体" w:hAnsi="宋体" w:cs="宋体"/>
          <w:bCs/>
          <w:color w:val="auto"/>
          <w:szCs w:val="21"/>
          <w:highlight w:val="none"/>
        </w:rPr>
        <w:t>二、合同期限</w:t>
      </w:r>
      <w:bookmarkEnd w:id="86"/>
    </w:p>
    <w:p>
      <w:pPr>
        <w:spacing w:line="312" w:lineRule="auto"/>
        <w:ind w:firstLine="411" w:firstLineChars="196"/>
        <w:rPr>
          <w:rFonts w:hint="eastAsia" w:ascii="宋体" w:hAnsi="宋体" w:cs="宋体"/>
          <w:b/>
          <w:bCs/>
          <w:color w:val="auto"/>
          <w:szCs w:val="21"/>
          <w:highlight w:val="none"/>
        </w:rPr>
      </w:pPr>
      <w:r>
        <w:rPr>
          <w:rFonts w:hint="eastAsia" w:ascii="宋体" w:hAnsi="宋体" w:cs="宋体"/>
          <w:color w:val="auto"/>
          <w:szCs w:val="21"/>
          <w:highlight w:val="none"/>
        </w:rPr>
        <w:t>合同期限</w:t>
      </w:r>
      <w:r>
        <w:rPr>
          <w:rFonts w:hint="eastAsia" w:ascii="宋体" w:hAnsi="宋体" w:cs="宋体"/>
          <w:color w:val="auto"/>
          <w:szCs w:val="21"/>
          <w:highlight w:val="none"/>
          <w:lang w:val="en-US" w:eastAsia="zh-CN"/>
        </w:rPr>
        <w:t>二</w:t>
      </w:r>
      <w:r>
        <w:rPr>
          <w:rFonts w:hint="eastAsia" w:ascii="宋体" w:hAnsi="宋体" w:cs="宋体"/>
          <w:color w:val="auto"/>
          <w:szCs w:val="21"/>
          <w:highlight w:val="none"/>
        </w:rPr>
        <w:t>年，从20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日至20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日止。</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rPr>
      </w:pPr>
      <w:bookmarkStart w:id="87" w:name="_Toc20543"/>
      <w:r>
        <w:rPr>
          <w:rFonts w:hint="eastAsia" w:ascii="宋体" w:hAnsi="宋体" w:cs="宋体"/>
          <w:bCs/>
          <w:color w:val="auto"/>
          <w:szCs w:val="21"/>
          <w:highlight w:val="none"/>
        </w:rPr>
        <w:t>三、结算方式</w:t>
      </w:r>
      <w:bookmarkEnd w:id="87"/>
    </w:p>
    <w:p>
      <w:pPr>
        <w:pStyle w:val="24"/>
        <w:tabs>
          <w:tab w:val="left" w:pos="297"/>
        </w:tabs>
        <w:spacing w:line="312" w:lineRule="auto"/>
        <w:ind w:firstLine="420"/>
        <w:rPr>
          <w:rFonts w:hint="eastAsia" w:ascii="宋体" w:hAnsi="宋体" w:cs="宋体"/>
          <w:color w:val="auto"/>
          <w:sz w:val="21"/>
          <w:szCs w:val="21"/>
          <w:highlight w:val="none"/>
          <w:u w:val="single"/>
        </w:rPr>
      </w:pPr>
      <w:r>
        <w:rPr>
          <w:rFonts w:hint="eastAsia" w:ascii="宋体" w:hAnsi="宋体" w:cs="宋体"/>
          <w:color w:val="auto"/>
          <w:sz w:val="21"/>
          <w:szCs w:val="21"/>
          <w:highlight w:val="none"/>
          <w:u w:val="single"/>
          <w:lang w:val="zh-CN"/>
        </w:rPr>
        <w:t>货款每月结算一次，先供货后结算，结算时间为次月25日前（节假日顺延）。每次结算须将上月的送货清单、验收单据与配送指定食堂进行核对，核对无误后，开具正式发票，以银行转账方式将上月的货款于次月汇入供应商指定账户。</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四、货物的配送</w:t>
      </w:r>
    </w:p>
    <w:p>
      <w:pPr>
        <w:pStyle w:val="24"/>
        <w:tabs>
          <w:tab w:val="left" w:pos="297"/>
        </w:tabs>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1.食堂确定由一家定点采购供应商按月配送。</w:t>
      </w:r>
    </w:p>
    <w:p>
      <w:pPr>
        <w:pStyle w:val="24"/>
        <w:tabs>
          <w:tab w:val="left" w:pos="297"/>
        </w:tabs>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2.食堂工作餐原材料供货：甲方须在前一日下午15点前向乙方提供第二天所需物品的品种及数量，经双方协商后确定最终送货品种及数量。乙方必须在第二日的早上8点前送达甲方指定地点（食堂所在地），如因乙方供货不及时给甲方造成的损失，乙方需全权负责。</w:t>
      </w:r>
    </w:p>
    <w:p>
      <w:pPr>
        <w:pStyle w:val="56"/>
        <w:spacing w:before="0" w:beforeAutospacing="0" w:after="0" w:afterAutospacing="0" w:line="312" w:lineRule="auto"/>
        <w:ind w:firstLine="411" w:firstLineChars="196"/>
        <w:rPr>
          <w:rFonts w:hint="eastAsia" w:cs="宋体"/>
          <w:color w:val="auto"/>
          <w:sz w:val="21"/>
          <w:szCs w:val="21"/>
          <w:highlight w:val="none"/>
        </w:rPr>
      </w:pPr>
      <w:r>
        <w:rPr>
          <w:rFonts w:hint="eastAsia" w:cs="宋体"/>
          <w:color w:val="auto"/>
          <w:sz w:val="21"/>
          <w:szCs w:val="21"/>
          <w:highlight w:val="none"/>
        </w:rPr>
        <w:t>3.配送相关费用包含在货物价格内，在配送过程中发生意外事故造成的损失由乙方自行承担。</w:t>
      </w:r>
    </w:p>
    <w:p>
      <w:pPr>
        <w:pStyle w:val="56"/>
        <w:spacing w:before="0" w:beforeAutospacing="0" w:after="0" w:afterAutospacing="0" w:line="312" w:lineRule="auto"/>
        <w:ind w:firstLine="411" w:firstLineChars="196"/>
        <w:rPr>
          <w:rFonts w:hint="eastAsia" w:cs="宋体"/>
          <w:color w:val="auto"/>
          <w:sz w:val="21"/>
          <w:szCs w:val="21"/>
          <w:highlight w:val="none"/>
        </w:rPr>
      </w:pPr>
      <w:r>
        <w:rPr>
          <w:rFonts w:hint="eastAsia" w:cs="宋体"/>
          <w:color w:val="auto"/>
          <w:sz w:val="21"/>
          <w:szCs w:val="21"/>
          <w:highlight w:val="none"/>
        </w:rPr>
        <w:t>4.其它商品送货：若甲方因工作需要（包厢等）急需物品送货的，乙方承诺1小时之内送达。</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五、货物的验收</w:t>
      </w:r>
    </w:p>
    <w:p>
      <w:pPr>
        <w:spacing w:line="312" w:lineRule="auto"/>
        <w:ind w:firstLine="420" w:firstLineChars="200"/>
        <w:textAlignment w:val="baseline"/>
        <w:rPr>
          <w:rFonts w:hint="eastAsia" w:ascii="宋体" w:hAnsi="宋体" w:cs="宋体"/>
          <w:color w:val="auto"/>
          <w:szCs w:val="21"/>
          <w:highlight w:val="none"/>
        </w:rPr>
      </w:pPr>
      <w:r>
        <w:rPr>
          <w:rFonts w:hint="eastAsia" w:ascii="宋体" w:hAnsi="宋体" w:cs="宋体"/>
          <w:color w:val="auto"/>
          <w:szCs w:val="21"/>
          <w:highlight w:val="none"/>
        </w:rPr>
        <w:t>1.乙方将甲方采购的货物配送到指定地点，由甲方食堂工作人员进行货物验收，验收通过后，由甲方验收人、库管员和乙方送货人在送货清单上签字确认。经3人签字确认的送货清单一式两份，甲乙双方各持一份，作为有效结算凭证。签字不全的送货清单不予结算。</w:t>
      </w:r>
    </w:p>
    <w:p>
      <w:pPr>
        <w:spacing w:line="312" w:lineRule="auto"/>
        <w:ind w:firstLine="420" w:firstLineChars="200"/>
        <w:textAlignment w:val="baseline"/>
        <w:rPr>
          <w:rFonts w:hint="eastAsia" w:ascii="宋体" w:hAnsi="宋体" w:cs="宋体"/>
          <w:color w:val="auto"/>
          <w:szCs w:val="21"/>
          <w:highlight w:val="none"/>
        </w:rPr>
      </w:pPr>
      <w:r>
        <w:rPr>
          <w:rFonts w:hint="eastAsia" w:ascii="宋体" w:hAnsi="宋体" w:cs="宋体"/>
          <w:color w:val="auto"/>
          <w:szCs w:val="21"/>
          <w:highlight w:val="none"/>
        </w:rPr>
        <w:t>2.配送的货物数量以甲方过磅为准。</w:t>
      </w:r>
    </w:p>
    <w:p>
      <w:pPr>
        <w:spacing w:line="312" w:lineRule="auto"/>
        <w:ind w:firstLine="420" w:firstLineChars="200"/>
        <w:textAlignment w:val="baseline"/>
        <w:rPr>
          <w:rFonts w:hint="eastAsia" w:ascii="宋体" w:hAnsi="宋体" w:cs="宋体"/>
          <w:b/>
          <w:color w:val="auto"/>
          <w:szCs w:val="21"/>
          <w:highlight w:val="none"/>
        </w:rPr>
      </w:pPr>
      <w:r>
        <w:rPr>
          <w:rFonts w:hint="eastAsia" w:ascii="宋体" w:hAnsi="宋体" w:cs="宋体"/>
          <w:color w:val="auto"/>
          <w:szCs w:val="21"/>
          <w:highlight w:val="none"/>
        </w:rPr>
        <w:t>3.甲方有权拒收不符合采购要求的货物，</w:t>
      </w:r>
      <w:r>
        <w:rPr>
          <w:rFonts w:hint="eastAsia" w:ascii="宋体" w:hAnsi="宋体" w:cs="宋体"/>
          <w:color w:val="auto"/>
          <w:spacing w:val="-13"/>
          <w:szCs w:val="21"/>
          <w:highlight w:val="none"/>
        </w:rPr>
        <w:t>由此造成的损失由乙方自负。</w:t>
      </w:r>
    </w:p>
    <w:p>
      <w:pPr>
        <w:snapToGrid w:val="0"/>
        <w:spacing w:before="120" w:beforeLines="50" w:after="120" w:afterLines="50" w:line="312" w:lineRule="auto"/>
        <w:ind w:firstLine="420" w:firstLineChars="200"/>
        <w:outlineLvl w:val="1"/>
        <w:rPr>
          <w:rFonts w:hint="eastAsia" w:ascii="宋体" w:hAnsi="宋体" w:cs="宋体"/>
          <w:bCs/>
          <w:color w:val="FF0000"/>
          <w:szCs w:val="21"/>
          <w:highlight w:val="none"/>
        </w:rPr>
      </w:pPr>
      <w:bookmarkStart w:id="88" w:name="_Toc8537"/>
      <w:r>
        <w:rPr>
          <w:rFonts w:hint="eastAsia" w:ascii="宋体" w:hAnsi="宋体" w:cs="宋体"/>
          <w:bCs/>
          <w:color w:val="FF0000"/>
          <w:szCs w:val="21"/>
          <w:highlight w:val="none"/>
        </w:rPr>
        <w:t>六、履约保证金</w:t>
      </w:r>
      <w:bookmarkEnd w:id="88"/>
    </w:p>
    <w:p>
      <w:pPr>
        <w:pStyle w:val="2"/>
        <w:spacing w:line="312" w:lineRule="auto"/>
        <w:ind w:firstLine="413" w:firstLineChars="209"/>
        <w:rPr>
          <w:rFonts w:hint="eastAsia" w:ascii="宋体" w:hAnsi="宋体" w:eastAsia="宋体" w:cs="宋体"/>
          <w:b w:val="0"/>
          <w:color w:val="FF0000"/>
          <w:spacing w:val="-6"/>
          <w:sz w:val="21"/>
          <w:szCs w:val="21"/>
          <w:highlight w:val="none"/>
          <w:lang w:val="en-US" w:eastAsia="zh-CN"/>
        </w:rPr>
      </w:pPr>
      <w:r>
        <w:rPr>
          <w:rFonts w:hint="eastAsia" w:ascii="宋体" w:hAnsi="宋体" w:eastAsia="宋体" w:cs="宋体"/>
          <w:b w:val="0"/>
          <w:color w:val="FF0000"/>
          <w:spacing w:val="-6"/>
          <w:sz w:val="21"/>
          <w:szCs w:val="21"/>
          <w:highlight w:val="none"/>
          <w:lang w:val="en-US" w:eastAsia="zh-CN"/>
        </w:rPr>
        <w:t>本项目无需缴纳履约保证金。</w:t>
      </w:r>
    </w:p>
    <w:p>
      <w:pPr>
        <w:pStyle w:val="2"/>
        <w:spacing w:line="312" w:lineRule="auto"/>
        <w:ind w:firstLine="413" w:firstLineChars="209"/>
        <w:rPr>
          <w:rFonts w:hint="eastAsia" w:ascii="宋体" w:hAnsi="宋体" w:eastAsia="宋体" w:cs="宋体"/>
          <w:b w:val="0"/>
          <w:color w:val="FF0000"/>
          <w:spacing w:val="-6"/>
          <w:sz w:val="21"/>
          <w:szCs w:val="21"/>
          <w:highlight w:val="none"/>
        </w:rPr>
      </w:pPr>
      <w:r>
        <w:rPr>
          <w:rFonts w:hint="eastAsia" w:ascii="宋体" w:hAnsi="宋体" w:eastAsia="宋体" w:cs="宋体"/>
          <w:b w:val="0"/>
          <w:color w:val="FF0000"/>
          <w:spacing w:val="-6"/>
          <w:sz w:val="21"/>
          <w:szCs w:val="21"/>
          <w:highlight w:val="none"/>
        </w:rPr>
        <w:t>七、供应物品的报价</w:t>
      </w:r>
    </w:p>
    <w:p>
      <w:pPr>
        <w:pStyle w:val="216"/>
        <w:spacing w:line="312" w:lineRule="auto"/>
        <w:ind w:firstLine="420" w:firstLineChars="200"/>
        <w:rPr>
          <w:rFonts w:ascii="宋体" w:hAnsi="宋体" w:cs="宋体"/>
          <w:bCs/>
          <w:color w:val="FF0000"/>
          <w:sz w:val="21"/>
          <w:szCs w:val="21"/>
          <w:highlight w:val="none"/>
        </w:rPr>
      </w:pPr>
      <w:r>
        <w:rPr>
          <w:rFonts w:hint="eastAsia" w:ascii="宋体" w:hAnsi="宋体" w:cs="宋体"/>
          <w:bCs/>
          <w:color w:val="FF0000"/>
          <w:sz w:val="21"/>
          <w:szCs w:val="21"/>
          <w:highlight w:val="none"/>
        </w:rPr>
        <w:t>本次投标报价下浮率</w:t>
      </w:r>
      <w:r>
        <w:rPr>
          <w:rFonts w:hint="eastAsia" w:ascii="宋体" w:hAnsi="宋体" w:cs="宋体"/>
          <w:bCs/>
          <w:color w:val="FF0000"/>
          <w:sz w:val="21"/>
          <w:szCs w:val="21"/>
          <w:highlight w:val="none"/>
          <w:lang w:val="en-US" w:eastAsia="zh-CN"/>
        </w:rPr>
        <w:t>为</w:t>
      </w:r>
      <w:r>
        <w:rPr>
          <w:rFonts w:hint="eastAsia" w:ascii="宋体" w:hAnsi="宋体" w:cs="宋体"/>
          <w:bCs/>
          <w:color w:val="FF0000"/>
          <w:sz w:val="21"/>
          <w:szCs w:val="21"/>
          <w:highlight w:val="none"/>
          <w:u w:val="single"/>
          <w:lang w:val="en-US" w:eastAsia="zh-CN"/>
        </w:rPr>
        <w:t xml:space="preserve">：     </w:t>
      </w:r>
      <w:r>
        <w:rPr>
          <w:rFonts w:hint="eastAsia" w:ascii="宋体" w:hAnsi="宋体" w:cs="宋体"/>
          <w:bCs/>
          <w:color w:val="FF0000"/>
          <w:sz w:val="21"/>
          <w:szCs w:val="21"/>
          <w:highlight w:val="none"/>
        </w:rPr>
        <w:t>。</w:t>
      </w:r>
    </w:p>
    <w:p>
      <w:pPr>
        <w:pStyle w:val="216"/>
        <w:spacing w:line="312"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最终结算供货单价=询价单价*（1-投标报价下浮率），数量按实结算。</w:t>
      </w:r>
    </w:p>
    <w:p>
      <w:pPr>
        <w:pStyle w:val="2"/>
        <w:keepNext w:val="0"/>
        <w:keepLines w:val="0"/>
        <w:pageBreakBefore w:val="0"/>
        <w:widowControl w:val="0"/>
        <w:kinsoku/>
        <w:wordWrap/>
        <w:overflowPunct/>
        <w:topLinePunct w:val="0"/>
        <w:autoSpaceDE/>
        <w:autoSpaceDN/>
        <w:bidi w:val="0"/>
        <w:adjustRightInd/>
        <w:snapToGrid/>
        <w:ind w:firstLine="500" w:firstLineChars="200"/>
        <w:textAlignment w:val="auto"/>
        <w:rPr>
          <w:rFonts w:hint="eastAsia" w:ascii="宋体" w:hAnsi="宋体" w:eastAsia="宋体" w:cs="宋体"/>
          <w:b w:val="0"/>
          <w:bCs w:val="0"/>
          <w:color w:val="FF0000"/>
          <w:sz w:val="21"/>
          <w:szCs w:val="21"/>
          <w:highlight w:val="none"/>
        </w:rPr>
      </w:pPr>
      <w:r>
        <w:rPr>
          <w:rFonts w:hint="eastAsia" w:ascii="宋体" w:hAnsi="宋体" w:eastAsia="宋体" w:cs="宋体"/>
          <w:b w:val="0"/>
          <w:bCs w:val="0"/>
          <w:color w:val="FF0000"/>
          <w:sz w:val="21"/>
          <w:szCs w:val="21"/>
          <w:highlight w:val="none"/>
        </w:rPr>
        <w:t>询价单价：</w:t>
      </w:r>
      <w:r>
        <w:rPr>
          <w:rFonts w:hint="eastAsia" w:ascii="宋体" w:hAnsi="宋体" w:eastAsia="宋体" w:cs="宋体"/>
          <w:b w:val="0"/>
          <w:bCs w:val="0"/>
          <w:color w:val="FF0000"/>
          <w:sz w:val="21"/>
          <w:szCs w:val="21"/>
          <w:highlight w:val="none"/>
          <w:lang w:val="en-US" w:eastAsia="zh-CN"/>
        </w:rPr>
        <w:t>取自南湖菜场、</w:t>
      </w:r>
      <w:r>
        <w:rPr>
          <w:rFonts w:hint="eastAsia" w:ascii="宋体" w:hAnsi="宋体" w:eastAsia="宋体" w:cs="宋体"/>
          <w:b w:val="0"/>
          <w:bCs w:val="0"/>
          <w:color w:val="FF0000"/>
          <w:sz w:val="21"/>
          <w:szCs w:val="21"/>
          <w:highlight w:val="none"/>
        </w:rPr>
        <w:t>大润发超市及衢州市东方超市同类产品零售价</w:t>
      </w:r>
      <w:r>
        <w:rPr>
          <w:rFonts w:hint="eastAsia" w:ascii="宋体" w:hAnsi="宋体" w:eastAsia="宋体" w:cs="宋体"/>
          <w:b w:val="0"/>
          <w:bCs w:val="0"/>
          <w:color w:val="FF0000"/>
          <w:sz w:val="21"/>
          <w:szCs w:val="21"/>
          <w:highlight w:val="none"/>
          <w:lang w:val="en-US" w:eastAsia="zh-CN"/>
        </w:rPr>
        <w:t>的</w:t>
      </w:r>
      <w:r>
        <w:rPr>
          <w:rFonts w:hint="eastAsia" w:ascii="宋体" w:hAnsi="宋体" w:eastAsia="宋体" w:cs="宋体"/>
          <w:b w:val="0"/>
          <w:bCs w:val="0"/>
          <w:color w:val="FF0000"/>
          <w:sz w:val="21"/>
          <w:szCs w:val="21"/>
          <w:highlight w:val="none"/>
        </w:rPr>
        <w:t>平均价格作为询价单价。</w:t>
      </w:r>
    </w:p>
    <w:p>
      <w:pPr>
        <w:pStyle w:val="216"/>
        <w:spacing w:line="312"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投标人估算错误或漏项的风险均由投标人承担。投标人应按招标文件要求进行报价。</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八、货物的质量要求</w:t>
      </w:r>
    </w:p>
    <w:p>
      <w:pPr>
        <w:pStyle w:val="24"/>
        <w:snapToGrid w:val="0"/>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1.中标人向招标人提供的商品质量必须符合《食品安全法》和国家有关食品卫生法规标准。</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2.豆制品、半成品生产企业具有生产许可证（包括企业食品生产许可证、食品小作坊登记证），符合GB/T22106-2008、GB2712-2014标准国家标准，能提供生产商的产品执行标准。</w:t>
      </w:r>
    </w:p>
    <w:p>
      <w:pPr>
        <w:snapToGrid w:val="0"/>
        <w:spacing w:line="312"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pacing w:val="-6"/>
          <w:szCs w:val="21"/>
          <w:highlight w:val="none"/>
        </w:rPr>
        <w:t>蔬菜、水果必须保证新鲜，且符合食品卫生安全法要求，蔬菜、水果需提供农药残留检测单。</w:t>
      </w:r>
    </w:p>
    <w:p>
      <w:pPr>
        <w:pStyle w:val="299"/>
        <w:shd w:val="clear" w:color="auto" w:fill="FFFFFF"/>
        <w:snapToGrid w:val="0"/>
        <w:spacing w:before="0" w:beforeAutospacing="0" w:after="0" w:afterAutospacing="0" w:line="312" w:lineRule="auto"/>
        <w:ind w:firstLine="420" w:firstLineChars="200"/>
        <w:rPr>
          <w:rFonts w:hint="eastAsia"/>
          <w:color w:val="auto"/>
          <w:sz w:val="21"/>
          <w:szCs w:val="21"/>
          <w:highlight w:val="none"/>
        </w:rPr>
      </w:pPr>
      <w:r>
        <w:rPr>
          <w:rFonts w:hint="eastAsia"/>
          <w:color w:val="auto"/>
          <w:sz w:val="21"/>
          <w:szCs w:val="21"/>
          <w:highlight w:val="none"/>
          <w:shd w:val="clear" w:color="auto" w:fill="FFFFFF"/>
        </w:rPr>
        <w:t>4.成品包装的货物须注有产品名称、制造厂名、厂址、净重、生产许可证号、批号、生产日期、保质期、执行标准号及规格等，包装应完好、</w:t>
      </w:r>
      <w:r>
        <w:rPr>
          <w:rFonts w:hint="eastAsia"/>
          <w:color w:val="auto"/>
          <w:sz w:val="21"/>
          <w:szCs w:val="21"/>
          <w:highlight w:val="none"/>
        </w:rPr>
        <w:t>无损坏、无挤压</w:t>
      </w:r>
      <w:r>
        <w:rPr>
          <w:rFonts w:hint="eastAsia"/>
          <w:color w:val="auto"/>
          <w:sz w:val="21"/>
          <w:szCs w:val="21"/>
          <w:highlight w:val="none"/>
          <w:shd w:val="clear" w:color="auto" w:fill="FFFFFF"/>
        </w:rPr>
        <w:t>，符合国家有关产品质量法规要求。</w:t>
      </w:r>
    </w:p>
    <w:p>
      <w:pPr>
        <w:pStyle w:val="253"/>
        <w:shd w:val="clear" w:color="auto" w:fill="FFFFFF"/>
        <w:snapToGrid w:val="0"/>
        <w:spacing w:before="0" w:beforeAutospacing="0" w:after="0" w:afterAutospacing="0" w:line="312" w:lineRule="auto"/>
        <w:ind w:firstLine="420" w:firstLineChars="200"/>
        <w:rPr>
          <w:rFonts w:hint="eastAsia" w:eastAsia="宋体"/>
          <w:color w:val="auto"/>
          <w:sz w:val="21"/>
          <w:szCs w:val="21"/>
          <w:highlight w:val="none"/>
          <w:shd w:val="clear" w:color="auto" w:fill="FFFFFF"/>
          <w:lang w:eastAsia="zh-CN"/>
        </w:rPr>
      </w:pPr>
      <w:r>
        <w:rPr>
          <w:rFonts w:hint="eastAsia"/>
          <w:color w:val="auto"/>
          <w:sz w:val="21"/>
          <w:szCs w:val="21"/>
          <w:highlight w:val="none"/>
          <w:shd w:val="clear" w:color="auto" w:fill="FFFFFF"/>
        </w:rPr>
        <w:t>5.散装产品严禁冷热混存，以免发生食品变质；不能掺杂使假，应表里如一，应符合散装产品的相关卫生及质量要求；对药性、肥气未脱的蔬菜严禁供给甲方。一经发现不符合要求的，取消供货资格</w:t>
      </w:r>
      <w:r>
        <w:rPr>
          <w:rFonts w:hint="eastAsia"/>
          <w:color w:val="auto"/>
          <w:sz w:val="21"/>
          <w:szCs w:val="21"/>
          <w:highlight w:val="none"/>
          <w:shd w:val="clear" w:color="auto" w:fill="FFFFFF"/>
          <w:lang w:eastAsia="zh-CN"/>
        </w:rPr>
        <w:t>。</w:t>
      </w:r>
    </w:p>
    <w:p>
      <w:pPr>
        <w:pStyle w:val="253"/>
        <w:shd w:val="clear" w:color="auto" w:fill="FFFFFF"/>
        <w:snapToGrid w:val="0"/>
        <w:spacing w:before="0" w:beforeAutospacing="0" w:after="0" w:afterAutospacing="0" w:line="312" w:lineRule="auto"/>
        <w:ind w:firstLine="420" w:firstLineChars="200"/>
        <w:rPr>
          <w:rFonts w:hint="eastAsia"/>
          <w:color w:val="auto"/>
          <w:sz w:val="21"/>
          <w:szCs w:val="21"/>
          <w:highlight w:val="none"/>
          <w:shd w:val="clear" w:color="auto" w:fill="FFFFFF"/>
        </w:rPr>
      </w:pPr>
      <w:r>
        <w:rPr>
          <w:rFonts w:hint="eastAsia"/>
          <w:color w:val="auto"/>
          <w:sz w:val="21"/>
          <w:szCs w:val="21"/>
          <w:highlight w:val="none"/>
          <w:shd w:val="clear" w:color="auto" w:fill="FFFFFF"/>
        </w:rPr>
        <w:t>6.发现乙方所供货物零售价格连续下浮3天以上或下浮超过15%时，乙方未能及时下调供应价格的；或发现乙方所供货物虚报价格（超过市场价格或以次充好）的，乙方须退还货款差价，按差价的三倍向甲方支付违约金。合同期内，累计超过3次以上，甲方有权单方面终止合同，不予支付未支付的货物款项。</w:t>
      </w:r>
    </w:p>
    <w:p>
      <w:pPr>
        <w:pStyle w:val="24"/>
        <w:snapToGrid w:val="0"/>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7.中标人不得提供以下食品：</w:t>
      </w:r>
    </w:p>
    <w:p>
      <w:pPr>
        <w:pStyle w:val="24"/>
        <w:snapToGrid w:val="0"/>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（1）腐败变质、油脂酸败、霉变、生虫、污秽不洁、混有异物或者其他感官性状异常、含有毒有害物质或者被有害物质污染，可能对人体健康有害的食品；</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（2）含有致病性寄生虫，微生物或者微生物含量超过国家限定标准的；</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（5）掺假、掺杂、伪造，影响营养、卫生的；</w:t>
      </w:r>
    </w:p>
    <w:p>
      <w:pPr>
        <w:pStyle w:val="24"/>
        <w:snapToGrid w:val="0"/>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（6）用非食品原料加工的，加入非食品用化学物质或者将非食品当作食品的；</w:t>
      </w:r>
    </w:p>
    <w:p>
      <w:pPr>
        <w:pStyle w:val="24"/>
        <w:snapToGrid w:val="0"/>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（7）超过质保期限或不符合食品标签规定的定型包装食品。</w:t>
      </w:r>
    </w:p>
    <w:p>
      <w:pPr>
        <w:pStyle w:val="216"/>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8.甲方在乙方配送履约期间须不定期进行实地检查，并送权威性机构进行抽检，所发生的费用由乙方承担。如发现有质量或违约行为，甲方有权终止合同，扣罚</w:t>
      </w:r>
      <w:r>
        <w:rPr>
          <w:rFonts w:hint="eastAsia" w:ascii="宋体" w:hAnsi="宋体" w:cs="宋体"/>
          <w:color w:val="auto"/>
          <w:sz w:val="21"/>
          <w:szCs w:val="21"/>
          <w:highlight w:val="none"/>
          <w:lang w:val="en-US" w:eastAsia="zh-CN"/>
        </w:rPr>
        <w:t>3万元违约金</w:t>
      </w:r>
      <w:r>
        <w:rPr>
          <w:rFonts w:hint="eastAsia" w:ascii="宋体" w:hAnsi="宋体" w:cs="宋体"/>
          <w:color w:val="auto"/>
          <w:sz w:val="21"/>
          <w:szCs w:val="21"/>
          <w:highlight w:val="none"/>
        </w:rPr>
        <w:t>，并三年内不得参与本项目采购活动。</w:t>
      </w:r>
    </w:p>
    <w:p>
      <w:pPr>
        <w:pStyle w:val="253"/>
        <w:shd w:val="clear" w:color="auto" w:fill="FFFFFF"/>
        <w:snapToGrid w:val="0"/>
        <w:spacing w:before="0" w:beforeAutospacing="0" w:after="0" w:afterAutospacing="0" w:line="312" w:lineRule="auto"/>
        <w:ind w:firstLine="420" w:firstLineChars="200"/>
        <w:rPr>
          <w:rFonts w:hint="eastAsia"/>
          <w:color w:val="auto"/>
          <w:sz w:val="21"/>
          <w:szCs w:val="21"/>
          <w:highlight w:val="none"/>
        </w:rPr>
      </w:pPr>
      <w:r>
        <w:rPr>
          <w:rFonts w:hint="eastAsia"/>
          <w:color w:val="auto"/>
          <w:sz w:val="21"/>
          <w:szCs w:val="21"/>
          <w:highlight w:val="none"/>
        </w:rPr>
        <w:t>9.价格预报与考核机制：（1）甲方将所需采购货物的数量及品种发送给乙方时，乙方需向甲方预先报送当日所需货物的价格，以供甲方选择是否继续采购或更换品种；（2）次月结算货款前，甲方随机进行抽查当月所供货物的价格，货物价格不得高于抽查前后时间段（衢州市</w:t>
      </w:r>
      <w:r>
        <w:rPr>
          <w:rFonts w:hint="eastAsia"/>
          <w:bCs/>
          <w:color w:val="auto"/>
          <w:sz w:val="21"/>
          <w:szCs w:val="21"/>
          <w:highlight w:val="none"/>
        </w:rPr>
        <w:t>发展和改革委员会网站发布的价格</w:t>
      </w:r>
      <w:r>
        <w:rPr>
          <w:rFonts w:hint="eastAsia"/>
          <w:color w:val="auto"/>
          <w:sz w:val="21"/>
          <w:szCs w:val="21"/>
          <w:highlight w:val="none"/>
        </w:rPr>
        <w:t>）两次</w:t>
      </w:r>
      <w:r>
        <w:rPr>
          <w:rFonts w:hint="eastAsia"/>
          <w:bCs/>
          <w:color w:val="auto"/>
          <w:sz w:val="21"/>
          <w:szCs w:val="21"/>
          <w:highlight w:val="none"/>
        </w:rPr>
        <w:t>同款货物均价×中标后下浮率的价格。</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九、安全责任</w:t>
      </w:r>
    </w:p>
    <w:p>
      <w:pPr>
        <w:pStyle w:val="240"/>
        <w:shd w:val="clear" w:color="auto" w:fill="FFFFFF"/>
        <w:spacing w:before="0" w:beforeAutospacing="0" w:after="0" w:afterAutospacing="0" w:line="312" w:lineRule="auto"/>
        <w:ind w:firstLine="372" w:firstLineChars="200"/>
        <w:rPr>
          <w:rFonts w:hint="eastAsia"/>
          <w:color w:val="auto"/>
          <w:sz w:val="21"/>
          <w:szCs w:val="21"/>
          <w:highlight w:val="none"/>
        </w:rPr>
      </w:pPr>
      <w:r>
        <w:rPr>
          <w:rFonts w:hint="eastAsia"/>
          <w:color w:val="auto"/>
          <w:spacing w:val="-12"/>
          <w:sz w:val="21"/>
          <w:szCs w:val="21"/>
          <w:highlight w:val="none"/>
        </w:rPr>
        <w:t>乙方对所提供商品的安全质量负责，</w:t>
      </w:r>
      <w:r>
        <w:rPr>
          <w:rFonts w:hint="eastAsia"/>
          <w:color w:val="auto"/>
          <w:sz w:val="21"/>
          <w:szCs w:val="21"/>
          <w:highlight w:val="none"/>
        </w:rPr>
        <w:t>并承担因质量问题的引起的一切法律责任以及赔偿责任。甲方员工因食用食堂饭菜致发生食物中毒</w:t>
      </w:r>
      <w:r>
        <w:rPr>
          <w:rFonts w:hint="eastAsia"/>
          <w:bCs/>
          <w:color w:val="auto"/>
          <w:sz w:val="21"/>
          <w:szCs w:val="21"/>
          <w:highlight w:val="none"/>
        </w:rPr>
        <w:t>等食源性疾病或其他事故，</w:t>
      </w:r>
      <w:r>
        <w:rPr>
          <w:rFonts w:hint="eastAsia"/>
          <w:color w:val="auto"/>
          <w:sz w:val="21"/>
          <w:szCs w:val="21"/>
          <w:highlight w:val="none"/>
        </w:rPr>
        <w:t>经有关单位鉴定原因后，如确实为乙方提供的物品质量问题引发的事故，乙方除需负</w:t>
      </w:r>
      <w:r>
        <w:rPr>
          <w:rFonts w:hint="eastAsia"/>
          <w:color w:val="auto"/>
          <w:spacing w:val="-9"/>
          <w:sz w:val="21"/>
          <w:szCs w:val="21"/>
          <w:highlight w:val="none"/>
        </w:rPr>
        <w:t>担全数的医药费外，并应承担法律上一切责任。如为甲方加工过程中造成的问题，甲方自行承担责任，与乙方无关。</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十、违约责任认定及处理办法</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任何一方未履行本合同项下的条款均被视为违约，违约方应按照《中华人民共和国民法典》有关条款的规定承担违约责任。</w:t>
      </w:r>
    </w:p>
    <w:p>
      <w:pPr>
        <w:pStyle w:val="56"/>
        <w:tabs>
          <w:tab w:val="right" w:pos="8312"/>
        </w:tabs>
        <w:spacing w:before="0" w:beforeAutospacing="0" w:after="0" w:afterAutospacing="0" w:line="312" w:lineRule="auto"/>
        <w:ind w:firstLine="420" w:firstLineChars="200"/>
        <w:rPr>
          <w:rFonts w:hint="eastAsia" w:cs="宋体"/>
          <w:color w:val="auto"/>
          <w:sz w:val="21"/>
          <w:szCs w:val="21"/>
          <w:highlight w:val="none"/>
        </w:rPr>
      </w:pPr>
      <w:r>
        <w:rPr>
          <w:rFonts w:hint="eastAsia" w:cs="宋体"/>
          <w:color w:val="auto"/>
          <w:sz w:val="21"/>
          <w:szCs w:val="21"/>
          <w:highlight w:val="none"/>
        </w:rPr>
        <w:t>1.发生下列情形时，</w:t>
      </w:r>
      <w:r>
        <w:rPr>
          <w:rFonts w:hint="eastAsia" w:cs="宋体"/>
          <w:color w:val="auto"/>
          <w:spacing w:val="-13"/>
          <w:sz w:val="21"/>
          <w:szCs w:val="21"/>
          <w:highlight w:val="none"/>
        </w:rPr>
        <w:t>甲方有权拒收货物，由此造成的损失由乙方自负：</w:t>
      </w:r>
    </w:p>
    <w:p>
      <w:pPr>
        <w:pStyle w:val="56"/>
        <w:tabs>
          <w:tab w:val="right" w:pos="8312"/>
        </w:tabs>
        <w:spacing w:before="0" w:beforeAutospacing="0" w:after="0" w:afterAutospacing="0" w:line="312" w:lineRule="auto"/>
        <w:ind w:firstLine="420" w:firstLineChars="200"/>
        <w:rPr>
          <w:rFonts w:hint="eastAsia" w:cs="宋体"/>
          <w:bCs/>
          <w:color w:val="auto"/>
          <w:sz w:val="21"/>
          <w:szCs w:val="21"/>
          <w:highlight w:val="none"/>
        </w:rPr>
      </w:pPr>
      <w:r>
        <w:rPr>
          <w:rFonts w:hint="eastAsia" w:cs="宋体"/>
          <w:color w:val="auto"/>
          <w:sz w:val="21"/>
          <w:szCs w:val="21"/>
          <w:highlight w:val="none"/>
        </w:rPr>
        <w:t>（1）乙方提供的货物不符合</w:t>
      </w:r>
      <w:r>
        <w:rPr>
          <w:rFonts w:hint="eastAsia" w:cs="宋体"/>
          <w:bCs/>
          <w:color w:val="auto"/>
          <w:sz w:val="21"/>
          <w:szCs w:val="21"/>
          <w:highlight w:val="none"/>
        </w:rPr>
        <w:t>货物质量要求的；</w:t>
      </w:r>
    </w:p>
    <w:p>
      <w:pPr>
        <w:pStyle w:val="56"/>
        <w:tabs>
          <w:tab w:val="right" w:pos="8312"/>
        </w:tabs>
        <w:spacing w:before="0" w:beforeAutospacing="0" w:after="0" w:afterAutospacing="0" w:line="312" w:lineRule="auto"/>
        <w:ind w:firstLine="420" w:firstLineChars="200"/>
        <w:rPr>
          <w:rFonts w:hint="eastAsia" w:cs="宋体"/>
          <w:color w:val="auto"/>
          <w:sz w:val="21"/>
          <w:szCs w:val="21"/>
          <w:highlight w:val="none"/>
        </w:rPr>
      </w:pPr>
      <w:r>
        <w:rPr>
          <w:rFonts w:hint="eastAsia" w:cs="宋体"/>
          <w:bCs/>
          <w:color w:val="auto"/>
          <w:sz w:val="21"/>
          <w:szCs w:val="21"/>
          <w:highlight w:val="none"/>
        </w:rPr>
        <w:t>（2）乙方提供货物的</w:t>
      </w:r>
      <w:r>
        <w:rPr>
          <w:rFonts w:hint="eastAsia" w:cs="宋体"/>
          <w:color w:val="auto"/>
          <w:sz w:val="21"/>
          <w:szCs w:val="21"/>
          <w:highlight w:val="none"/>
        </w:rPr>
        <w:t>数量、规格、品牌、产地等不符合采购要求的；</w:t>
      </w:r>
    </w:p>
    <w:p>
      <w:pPr>
        <w:pStyle w:val="56"/>
        <w:tabs>
          <w:tab w:val="right" w:pos="8312"/>
        </w:tabs>
        <w:spacing w:before="0" w:beforeAutospacing="0" w:after="0" w:afterAutospacing="0" w:line="312" w:lineRule="auto"/>
        <w:ind w:firstLine="420" w:firstLineChars="200"/>
        <w:rPr>
          <w:rFonts w:hint="eastAsia" w:cs="宋体"/>
          <w:color w:val="auto"/>
          <w:spacing w:val="-13"/>
          <w:sz w:val="21"/>
          <w:szCs w:val="21"/>
          <w:highlight w:val="none"/>
        </w:rPr>
      </w:pPr>
      <w:r>
        <w:rPr>
          <w:rFonts w:hint="eastAsia" w:cs="宋体"/>
          <w:color w:val="auto"/>
          <w:sz w:val="21"/>
          <w:szCs w:val="21"/>
          <w:highlight w:val="none"/>
        </w:rPr>
        <w:t>（3）乙方超越甲方所提供的清单以外供货，搞甲方所需商品清单以外的商品搭售的；</w:t>
      </w:r>
    </w:p>
    <w:p>
      <w:pPr>
        <w:pStyle w:val="56"/>
        <w:tabs>
          <w:tab w:val="right" w:pos="8312"/>
        </w:tabs>
        <w:spacing w:before="0" w:beforeAutospacing="0" w:after="0" w:afterAutospacing="0" w:line="312" w:lineRule="auto"/>
        <w:ind w:firstLine="420" w:firstLineChars="200"/>
        <w:rPr>
          <w:rFonts w:hint="eastAsia" w:cs="宋体"/>
          <w:color w:val="auto"/>
          <w:sz w:val="21"/>
          <w:szCs w:val="21"/>
          <w:highlight w:val="none"/>
        </w:rPr>
      </w:pPr>
      <w:r>
        <w:rPr>
          <w:rFonts w:hint="eastAsia" w:cs="宋体"/>
          <w:color w:val="auto"/>
          <w:sz w:val="21"/>
          <w:szCs w:val="21"/>
          <w:highlight w:val="none"/>
        </w:rPr>
        <w:t>2.货物在包装等方面有瑕疵，但不影响食用的，可选择下列一种方式处理：</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pacing w:val="-13"/>
          <w:szCs w:val="21"/>
          <w:highlight w:val="none"/>
        </w:rPr>
        <w:t xml:space="preserve"> 甲方有权拒收，由此造成的损失由乙方自负</w:t>
      </w:r>
      <w:r>
        <w:rPr>
          <w:rFonts w:hint="eastAsia" w:ascii="宋体" w:hAnsi="宋体" w:cs="宋体"/>
          <w:color w:val="auto"/>
          <w:szCs w:val="21"/>
          <w:highlight w:val="none"/>
        </w:rPr>
        <w:t>；</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（2）根据货物的质量状况以及瑕疵程度，经甲乙双方商定降低货物的价格。</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3.对甲方提出的供应要求，乙方应及时组织货源，并在约定的时间内送货到甲方指定地点。如发生</w:t>
      </w:r>
      <w:r>
        <w:rPr>
          <w:rFonts w:hint="eastAsia" w:ascii="宋体" w:hAnsi="宋体" w:cs="宋体"/>
          <w:color w:val="auto"/>
          <w:szCs w:val="21"/>
          <w:highlight w:val="none"/>
        </w:rPr>
        <w:t>延误，造成甲方不能按时提供员工就餐，乙方按每次</w:t>
      </w:r>
      <w:r>
        <w:rPr>
          <w:rFonts w:hint="eastAsia" w:ascii="宋体" w:hAnsi="宋体" w:cs="宋体"/>
          <w:color w:val="auto"/>
          <w:szCs w:val="21"/>
          <w:highlight w:val="none"/>
          <w:u w:val="single"/>
        </w:rPr>
        <w:t>2000</w:t>
      </w:r>
      <w:r>
        <w:rPr>
          <w:rFonts w:hint="eastAsia" w:ascii="宋体" w:hAnsi="宋体" w:cs="宋体"/>
          <w:color w:val="auto"/>
          <w:szCs w:val="21"/>
          <w:highlight w:val="none"/>
        </w:rPr>
        <w:t>元的标准向甲方支付违约金。合同期内，累计超过</w:t>
      </w:r>
      <w:r>
        <w:rPr>
          <w:rFonts w:hint="eastAsia" w:ascii="宋体" w:hAnsi="宋体" w:cs="宋体"/>
          <w:color w:val="auto"/>
          <w:szCs w:val="21"/>
          <w:highlight w:val="none"/>
          <w:u w:val="single"/>
        </w:rPr>
        <w:t>3</w:t>
      </w:r>
      <w:r>
        <w:rPr>
          <w:rFonts w:hint="eastAsia" w:ascii="宋体" w:hAnsi="宋体" w:cs="宋体"/>
          <w:color w:val="auto"/>
          <w:szCs w:val="21"/>
          <w:highlight w:val="none"/>
        </w:rPr>
        <w:t>次以上，甲方有权单方面终止合同。</w:t>
      </w:r>
    </w:p>
    <w:p>
      <w:pPr>
        <w:pStyle w:val="56"/>
        <w:tabs>
          <w:tab w:val="right" w:pos="8312"/>
        </w:tabs>
        <w:spacing w:before="0" w:beforeAutospacing="0" w:after="0" w:afterAutospacing="0" w:line="312" w:lineRule="auto"/>
        <w:ind w:firstLine="420" w:firstLineChars="200"/>
        <w:rPr>
          <w:rFonts w:hint="eastAsia" w:cs="宋体"/>
          <w:color w:val="auto"/>
          <w:sz w:val="21"/>
          <w:szCs w:val="21"/>
          <w:highlight w:val="none"/>
        </w:rPr>
      </w:pPr>
      <w:r>
        <w:rPr>
          <w:rFonts w:hint="eastAsia" w:cs="宋体"/>
          <w:color w:val="auto"/>
          <w:sz w:val="21"/>
          <w:szCs w:val="21"/>
          <w:highlight w:val="none"/>
        </w:rPr>
        <w:t>4.如发生由于乙方原因造成的供货延误，可能会影响食堂为员工提供就餐的，甲方有权临时从第三方渠道组织进货，且不承担违约责任。</w:t>
      </w:r>
    </w:p>
    <w:p>
      <w:pPr>
        <w:pStyle w:val="56"/>
        <w:tabs>
          <w:tab w:val="right" w:pos="8312"/>
        </w:tabs>
        <w:spacing w:before="0" w:beforeAutospacing="0" w:after="0" w:afterAutospacing="0" w:line="312" w:lineRule="auto"/>
        <w:ind w:firstLine="420" w:firstLineChars="200"/>
        <w:rPr>
          <w:rFonts w:hint="eastAsia" w:cs="宋体"/>
          <w:color w:val="auto"/>
          <w:sz w:val="21"/>
          <w:szCs w:val="21"/>
          <w:highlight w:val="none"/>
        </w:rPr>
      </w:pPr>
      <w:r>
        <w:rPr>
          <w:rFonts w:hint="eastAsia" w:cs="宋体"/>
          <w:color w:val="auto"/>
          <w:sz w:val="21"/>
          <w:szCs w:val="21"/>
          <w:highlight w:val="none"/>
        </w:rPr>
        <w:t>5.乙方交付的货物存在质量、服务纠纷，按《食品安全法》、《消费者权益保护法》等有关法律法规以及售后服务承诺处理。处理完毕之前，甲方有权停止支付货款。</w:t>
      </w:r>
    </w:p>
    <w:p>
      <w:pPr>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6.如发现乙方将合同转让和分包，甲方可在任何时候单方面终止合同，不予支付末支付的货物款项，如不足以弥补甲方损失的，甲方有权进一步要求乙方赔偿。</w:t>
      </w:r>
    </w:p>
    <w:p>
      <w:pPr>
        <w:pStyle w:val="32"/>
        <w:snapToGrid w:val="0"/>
        <w:spacing w:line="312" w:lineRule="auto"/>
        <w:ind w:firstLine="420" w:firstLineChars="200"/>
        <w:rPr>
          <w:rFonts w:hint="eastAsia" w:hAnsi="宋体" w:cs="宋体"/>
          <w:color w:val="auto"/>
          <w:szCs w:val="21"/>
          <w:highlight w:val="none"/>
        </w:rPr>
      </w:pPr>
      <w:r>
        <w:rPr>
          <w:rFonts w:hint="eastAsia" w:hAnsi="宋体" w:cs="宋体"/>
          <w:color w:val="auto"/>
          <w:szCs w:val="21"/>
          <w:highlight w:val="none"/>
        </w:rPr>
        <w:t>7.如乙方因故必须中途终止合同，应于两个星期前函请甲方解约，</w:t>
      </w:r>
      <w:r>
        <w:rPr>
          <w:rFonts w:hint="eastAsia" w:hAnsi="宋体" w:cs="宋体"/>
          <w:color w:val="auto"/>
          <w:spacing w:val="-9"/>
          <w:szCs w:val="21"/>
          <w:highlight w:val="none"/>
        </w:rPr>
        <w:t>等甲方重新确定供应商后，甲方才同意解约，并书面通知乙方解约。</w:t>
      </w:r>
      <w:r>
        <w:rPr>
          <w:rFonts w:hint="eastAsia" w:hAnsi="宋体" w:cs="宋体"/>
          <w:color w:val="auto"/>
          <w:szCs w:val="21"/>
          <w:highlight w:val="none"/>
        </w:rPr>
        <w:t>乙方中途终止合同后，不予支付末支付的货物款项。</w:t>
      </w:r>
    </w:p>
    <w:p>
      <w:pPr>
        <w:autoSpaceDE w:val="0"/>
        <w:autoSpaceDN w:val="0"/>
        <w:snapToGrid w:val="0"/>
        <w:spacing w:line="312" w:lineRule="auto"/>
        <w:ind w:firstLine="420" w:firstLineChars="200"/>
        <w:textAlignment w:val="bottom"/>
        <w:rPr>
          <w:rFonts w:hint="eastAsia" w:ascii="宋体" w:hAnsi="宋体" w:cs="宋体"/>
          <w:color w:val="auto"/>
          <w:szCs w:val="21"/>
          <w:highlight w:val="none"/>
        </w:rPr>
      </w:pPr>
      <w:r>
        <w:rPr>
          <w:rFonts w:hint="eastAsia" w:ascii="宋体" w:hAnsi="宋体" w:cs="宋体"/>
          <w:color w:val="auto"/>
          <w:szCs w:val="21"/>
          <w:highlight w:val="none"/>
        </w:rPr>
        <w:t>8.甲方员工因食用食堂饭菜致发生食物中毒</w:t>
      </w:r>
      <w:r>
        <w:rPr>
          <w:rFonts w:hint="eastAsia" w:ascii="宋体" w:hAnsi="宋体" w:cs="宋体"/>
          <w:bCs/>
          <w:color w:val="auto"/>
          <w:szCs w:val="21"/>
          <w:highlight w:val="none"/>
        </w:rPr>
        <w:t>等食源性疾病或其他事故，</w:t>
      </w:r>
      <w:r>
        <w:rPr>
          <w:rFonts w:hint="eastAsia" w:ascii="宋体" w:hAnsi="宋体" w:cs="宋体"/>
          <w:color w:val="auto"/>
          <w:szCs w:val="21"/>
          <w:highlight w:val="none"/>
        </w:rPr>
        <w:t>经有关单位鉴定原因后，如确实为乙方提供的物品质量问题引发的事故，乙方除需负</w:t>
      </w:r>
      <w:r>
        <w:rPr>
          <w:rFonts w:hint="eastAsia" w:ascii="宋体" w:hAnsi="宋体" w:cs="宋体"/>
          <w:color w:val="auto"/>
          <w:spacing w:val="-9"/>
          <w:szCs w:val="21"/>
          <w:highlight w:val="none"/>
        </w:rPr>
        <w:t>担全部的医药费并承担法律责任外，甲</w:t>
      </w:r>
      <w:r>
        <w:rPr>
          <w:rFonts w:hint="eastAsia" w:ascii="宋体" w:hAnsi="宋体" w:cs="宋体"/>
          <w:color w:val="auto"/>
          <w:szCs w:val="21"/>
          <w:highlight w:val="none"/>
        </w:rPr>
        <w:t>方有权单方面终止合同，不予支付末支付的货物款项，如不足以弥补甲方损失的，甲方有权进一步要求乙方赔偿。</w:t>
      </w:r>
    </w:p>
    <w:p>
      <w:pPr>
        <w:pStyle w:val="56"/>
        <w:shd w:val="clear" w:color="auto" w:fill="FFFFFF"/>
        <w:spacing w:before="0" w:beforeAutospacing="0" w:after="0" w:afterAutospacing="0" w:line="312" w:lineRule="auto"/>
        <w:ind w:firstLine="420" w:firstLineChars="200"/>
        <w:jc w:val="both"/>
        <w:rPr>
          <w:rFonts w:hint="eastAsia" w:cs="宋体"/>
          <w:color w:val="auto"/>
          <w:sz w:val="21"/>
          <w:szCs w:val="21"/>
          <w:highlight w:val="none"/>
        </w:rPr>
      </w:pPr>
      <w:r>
        <w:rPr>
          <w:rFonts w:hint="eastAsia" w:cs="宋体"/>
          <w:color w:val="auto"/>
          <w:sz w:val="21"/>
          <w:szCs w:val="21"/>
          <w:highlight w:val="none"/>
        </w:rPr>
        <w:t>9.若甲方在约定的货款支付日期届满后，尚未支付应付货款，甲方应向乙方支付滞纳金。滞约金自欠费之日起至欠费缴清日止，按应付未付总额的</w:t>
      </w:r>
      <w:r>
        <w:rPr>
          <w:rFonts w:hint="eastAsia" w:cs="宋体"/>
          <w:color w:val="auto"/>
          <w:sz w:val="21"/>
          <w:szCs w:val="21"/>
          <w:highlight w:val="none"/>
          <w:u w:val="single"/>
        </w:rPr>
        <w:t>0.1%</w:t>
      </w:r>
      <w:r>
        <w:rPr>
          <w:rFonts w:hint="eastAsia" w:cs="宋体"/>
          <w:color w:val="auto"/>
          <w:sz w:val="21"/>
          <w:szCs w:val="21"/>
          <w:highlight w:val="none"/>
        </w:rPr>
        <w:t>/天向乙方支付滞纳金。</w:t>
      </w:r>
    </w:p>
    <w:p>
      <w:pPr>
        <w:pStyle w:val="24"/>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10.乙方不得开具虚假的食品购物清单和税务发票。如有违反，甲方有权单方面终止合同，不予支付末支付的货物款项。</w:t>
      </w:r>
    </w:p>
    <w:p>
      <w:pPr>
        <w:pStyle w:val="24"/>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11.甲乙双方应建立良好的供需关系，乙方不得向甲方人员馈赠任何物品、现金等。如有违反，甲方有权单方面终止合同，不予支付末支付的货物款项。</w:t>
      </w:r>
    </w:p>
    <w:p>
      <w:pPr>
        <w:autoSpaceDE w:val="0"/>
        <w:autoSpaceDN w:val="0"/>
        <w:snapToGrid w:val="0"/>
        <w:spacing w:line="312" w:lineRule="auto"/>
        <w:ind w:firstLine="420" w:firstLineChars="200"/>
        <w:textAlignment w:val="bottom"/>
        <w:rPr>
          <w:rFonts w:hint="eastAsia" w:ascii="宋体" w:hAnsi="宋体" w:cs="宋体"/>
          <w:color w:val="auto"/>
          <w:szCs w:val="21"/>
          <w:highlight w:val="none"/>
        </w:rPr>
      </w:pPr>
      <w:r>
        <w:rPr>
          <w:rFonts w:hint="eastAsia" w:ascii="宋体" w:hAnsi="宋体" w:cs="宋体"/>
          <w:bCs/>
          <w:color w:val="auto"/>
          <w:szCs w:val="21"/>
          <w:highlight w:val="none"/>
        </w:rPr>
        <w:t>12.</w:t>
      </w:r>
      <w:r>
        <w:rPr>
          <w:rFonts w:hint="eastAsia" w:ascii="宋体" w:hAnsi="宋体" w:cs="宋体"/>
          <w:color w:val="auto"/>
          <w:szCs w:val="21"/>
          <w:highlight w:val="none"/>
        </w:rPr>
        <w:t>因政策性变化或不可抗力致使合同无法继续履行或需对合同进行修订时，应当终止或修订合同，双方互不承担违约责任。</w:t>
      </w:r>
    </w:p>
    <w:p>
      <w:pPr>
        <w:autoSpaceDE w:val="0"/>
        <w:autoSpaceDN w:val="0"/>
        <w:snapToGrid w:val="0"/>
        <w:spacing w:line="312" w:lineRule="auto"/>
        <w:ind w:firstLine="420" w:firstLineChars="200"/>
        <w:textAlignment w:val="bottom"/>
        <w:rPr>
          <w:rFonts w:hint="eastAsia" w:ascii="宋体" w:hAnsi="宋体" w:cs="宋体"/>
          <w:color w:val="auto"/>
          <w:szCs w:val="21"/>
          <w:highlight w:val="none"/>
        </w:rPr>
      </w:pPr>
      <w:r>
        <w:rPr>
          <w:rFonts w:hint="eastAsia" w:ascii="宋体" w:hAnsi="宋体" w:cs="宋体"/>
          <w:color w:val="auto"/>
          <w:szCs w:val="21"/>
          <w:highlight w:val="none"/>
        </w:rPr>
        <w:t>13.违约金从应付货款中扣除。</w:t>
      </w:r>
    </w:p>
    <w:p>
      <w:pPr>
        <w:pStyle w:val="56"/>
        <w:tabs>
          <w:tab w:val="right" w:pos="8312"/>
        </w:tabs>
        <w:spacing w:before="0" w:beforeAutospacing="0" w:after="0" w:afterAutospacing="0" w:line="312" w:lineRule="auto"/>
        <w:ind w:firstLine="420" w:firstLineChars="200"/>
        <w:rPr>
          <w:rFonts w:hint="eastAsia" w:cs="宋体"/>
          <w:color w:val="auto"/>
          <w:kern w:val="2"/>
          <w:sz w:val="21"/>
          <w:szCs w:val="21"/>
          <w:highlight w:val="none"/>
        </w:rPr>
      </w:pPr>
      <w:r>
        <w:rPr>
          <w:rFonts w:hint="eastAsia" w:cs="宋体"/>
          <w:color w:val="auto"/>
          <w:kern w:val="2"/>
          <w:sz w:val="21"/>
          <w:szCs w:val="21"/>
          <w:highlight w:val="none"/>
        </w:rPr>
        <w:t>14.甲方将对乙方从货物质量、配送速度、上报价格等方面进行月考核，月考核结果达到90-100分为合格、低于90分为不合格，如乙方发生一次不合格情形的，扣除当月总货款的0.5%作为罚金；发生二次不合格情形的，扣除当月总货款的3%作为罚金，发生三次不合格情形的，甲方可单方面终止合同，并三年内不得参与本项目采购活动（考核办法在签订合同时提供）。</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十一、服务承诺</w:t>
      </w:r>
    </w:p>
    <w:p>
      <w:pPr>
        <w:pStyle w:val="24"/>
        <w:spacing w:line="312"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严格按</w:t>
      </w:r>
      <w:r>
        <w:rPr>
          <w:rFonts w:hint="eastAsia" w:ascii="宋体" w:hAnsi="宋体" w:cs="宋体"/>
          <w:color w:val="auto"/>
          <w:sz w:val="21"/>
          <w:szCs w:val="21"/>
          <w:highlight w:val="none"/>
          <w:lang w:val="en-US" w:eastAsia="zh-CN"/>
        </w:rPr>
        <w:t>投标文件服务承诺</w:t>
      </w:r>
      <w:r>
        <w:rPr>
          <w:rFonts w:hint="eastAsia" w:ascii="宋体" w:hAnsi="宋体" w:cs="宋体"/>
          <w:color w:val="auto"/>
          <w:sz w:val="21"/>
          <w:szCs w:val="21"/>
          <w:highlight w:val="none"/>
        </w:rPr>
        <w:t>执行。</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十二、合同的变更</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1.在本合同执行期间出台新的法律法规和服务标准，则自新的法律法规和服务标准生效之日起按新的法律法规和服务标准执行。</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2.在合同履行过程中，甲乙双方可就合同履行的地点和方式等协商进行变更。协商一致后，双方应签订书面的补充协议，原则性条款不允许修改。</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3.除双方签署书面协议，并成为合同不可分割的一部分外，本合同条件不得有任何变更。</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十三、合同的终止</w:t>
      </w:r>
    </w:p>
    <w:p>
      <w:pPr>
        <w:spacing w:line="312"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1.发生违约责任条款中应当终止合同的情形时，可以终止本合同，并追究违约方的违约责任。</w:t>
      </w:r>
    </w:p>
    <w:p>
      <w:pPr>
        <w:spacing w:line="312"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2.如果乙方丧失履约能力或被宣告破产，甲方可在任何时候以书面形式通知乙方终止合同。</w:t>
      </w:r>
    </w:p>
    <w:p>
      <w:pPr>
        <w:spacing w:line="312"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3.合同因有效期限届满而终止。</w:t>
      </w:r>
    </w:p>
    <w:p>
      <w:pPr>
        <w:spacing w:line="312"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4.如遇政策性搬迁合同自动终止。</w:t>
      </w:r>
    </w:p>
    <w:p>
      <w:pPr>
        <w:autoSpaceDE w:val="0"/>
        <w:autoSpaceDN w:val="0"/>
        <w:adjustRightInd w:val="0"/>
        <w:snapToGrid w:val="0"/>
        <w:spacing w:line="312" w:lineRule="auto"/>
        <w:ind w:firstLine="420" w:firstLineChars="200"/>
        <w:jc w:val="left"/>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十四、合同的转让和分包</w:t>
      </w:r>
    </w:p>
    <w:p>
      <w:pPr>
        <w:snapToGrid w:val="0"/>
        <w:spacing w:line="312"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szCs w:val="21"/>
          <w:highlight w:val="none"/>
        </w:rPr>
        <w:t>乙方不得以任何形式转让</w:t>
      </w:r>
      <w:r>
        <w:rPr>
          <w:rStyle w:val="159"/>
          <w:rFonts w:hint="default" w:cs="宋体"/>
          <w:color w:val="auto"/>
          <w:sz w:val="21"/>
          <w:szCs w:val="21"/>
          <w:highlight w:val="none"/>
        </w:rPr>
        <w:t>其应履行的合同义务</w:t>
      </w:r>
      <w:r>
        <w:rPr>
          <w:rFonts w:hint="eastAsia" w:ascii="宋体" w:hAnsi="宋体" w:cs="宋体"/>
          <w:color w:val="auto"/>
          <w:kern w:val="0"/>
          <w:szCs w:val="21"/>
          <w:highlight w:val="none"/>
        </w:rPr>
        <w:t>。</w:t>
      </w:r>
    </w:p>
    <w:p>
      <w:pPr>
        <w:autoSpaceDE w:val="0"/>
        <w:autoSpaceDN w:val="0"/>
        <w:adjustRightInd w:val="0"/>
        <w:snapToGrid w:val="0"/>
        <w:spacing w:line="312" w:lineRule="auto"/>
        <w:ind w:firstLine="420" w:firstLineChars="200"/>
        <w:jc w:val="left"/>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十五、不可抗力</w:t>
      </w:r>
    </w:p>
    <w:p>
      <w:pPr>
        <w:spacing w:line="312"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1.不可抗力是指合同双方不可预见、不可避免、不可克服的自然灾害和社会事件，但不包括一方的违约或疏忽。这些事件包括，但不限于：战争、严重自然灾害，政府部门政策调整等。</w:t>
      </w:r>
    </w:p>
    <w:p>
      <w:pPr>
        <w:spacing w:line="312"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2.在执行合同期限内，任何一方因不可抗力事件所致不能履行合同，则合同履行期可延长，延长期与不可抗力影响期相同。</w:t>
      </w:r>
    </w:p>
    <w:p>
      <w:pPr>
        <w:spacing w:line="312"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3.任何一方对由于不可抗力造成的部分或全部不能履行合同不承担违约责任。但迟延履行后发生不可抗力的，不能免除责任。</w:t>
      </w:r>
    </w:p>
    <w:p>
      <w:pPr>
        <w:spacing w:line="312"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遇有不可抗力的一方，应在三日内将事件的情况以书面形式通知另一方，并提供有关权威机构出具的证明。在事件发生后十日内，向另一方提交合同不能履行或部分不能履行或需要延期履行理由的报告。不可抗力事件延续</w:t>
      </w:r>
      <w:r>
        <w:rPr>
          <w:rFonts w:hint="eastAsia" w:ascii="宋体" w:hAnsi="宋体" w:cs="宋体"/>
          <w:color w:val="auto"/>
          <w:szCs w:val="21"/>
          <w:highlight w:val="none"/>
          <w:u w:val="single"/>
        </w:rPr>
        <w:t>60</w:t>
      </w:r>
      <w:r>
        <w:rPr>
          <w:rFonts w:hint="eastAsia" w:ascii="宋体" w:hAnsi="宋体" w:cs="宋体"/>
          <w:color w:val="auto"/>
          <w:szCs w:val="21"/>
          <w:highlight w:val="none"/>
        </w:rPr>
        <w:t>天以上，双方应通过友好协商确定继续履行或中止合同的相关事项。</w:t>
      </w:r>
    </w:p>
    <w:p>
      <w:pPr>
        <w:autoSpaceDE w:val="0"/>
        <w:autoSpaceDN w:val="0"/>
        <w:adjustRightInd w:val="0"/>
        <w:snapToGrid w:val="0"/>
        <w:spacing w:line="312" w:lineRule="auto"/>
        <w:ind w:firstLine="420" w:firstLineChars="200"/>
        <w:jc w:val="left"/>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十六、解决争议的方法</w:t>
      </w:r>
    </w:p>
    <w:p>
      <w:pPr>
        <w:pStyle w:val="24"/>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1.双方一致同意建立协商制度，加强日常情况沟通，及时处理各项问题。</w:t>
      </w:r>
    </w:p>
    <w:p>
      <w:pPr>
        <w:pStyle w:val="24"/>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对于本合同未尽事宜或对相关条款理解的争议，双方将尽最大努力协商解决一切争议、分歧或矛盾并对本合同进行修改、补充或另行签订协议。当修改条款或补充协议与本合同条款发生矛盾时，以修改后的条款或补充协议为准。</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3.如从协商开始后十日内仍不能解决，可以向有关部门提请调解。</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4.调解不成可以按下列方式之一提起仲裁或诉讼：</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（1）向履约地仲裁机构提起仲裁；</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（2）向履约地人民法院提起诉讼。</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5.如仲裁或诉讼事项不影响合同其它部分的履行，则在仲裁或诉讼期间，除正在进行仲裁或诉讼的部分外，合同的其它部分应继续执行。</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十七、法律适用</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本合同适用中华人民共和国现行法律、行政法规和规章，如合同条款与法律、行政法规和规章不一致的，按照法律、行政法规和规章修改本合同。</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十八、附件</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磋商文件、磋商响应文件、澄清、答疑、修改、补充文件及补充协议作为本合同附件，与本合同具有同等法律效力。</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十九、单位变动情况处理</w:t>
      </w:r>
    </w:p>
    <w:p>
      <w:pPr>
        <w:spacing w:line="312" w:lineRule="auto"/>
        <w:ind w:firstLine="420" w:firstLineChars="200"/>
        <w:rPr>
          <w:rFonts w:hint="eastAsia" w:ascii="宋体" w:hAnsi="宋体" w:cs="宋体"/>
          <w:color w:val="auto"/>
          <w:spacing w:val="-6"/>
          <w:szCs w:val="21"/>
          <w:highlight w:val="none"/>
        </w:rPr>
      </w:pPr>
      <w:r>
        <w:rPr>
          <w:rFonts w:hint="eastAsia" w:ascii="宋体" w:hAnsi="宋体" w:cs="宋体"/>
          <w:color w:val="auto"/>
          <w:szCs w:val="21"/>
          <w:highlight w:val="none"/>
        </w:rPr>
        <w:t>甲</w:t>
      </w:r>
      <w:r>
        <w:rPr>
          <w:rFonts w:hint="eastAsia" w:ascii="宋体" w:hAnsi="宋体" w:cs="宋体"/>
          <w:color w:val="auto"/>
          <w:spacing w:val="-6"/>
          <w:szCs w:val="21"/>
          <w:highlight w:val="none"/>
        </w:rPr>
        <w:t>乙双方发生收购、兼并、重组等体制或产权变动情况，责任顺延至收购方、兼并方、重组方等新主体。</w:t>
      </w:r>
    </w:p>
    <w:p>
      <w:pPr>
        <w:autoSpaceDE w:val="0"/>
        <w:autoSpaceDN w:val="0"/>
        <w:adjustRightInd w:val="0"/>
        <w:snapToGrid w:val="0"/>
        <w:spacing w:line="312" w:lineRule="auto"/>
        <w:ind w:firstLine="420" w:firstLineChars="200"/>
        <w:outlineLvl w:val="1"/>
        <w:rPr>
          <w:rFonts w:hint="eastAsia" w:ascii="宋体" w:hAnsi="宋体" w:cs="宋体"/>
          <w:color w:val="auto"/>
          <w:szCs w:val="21"/>
          <w:highlight w:val="none"/>
          <w:lang w:val="zh-CN"/>
        </w:rPr>
      </w:pPr>
      <w:r>
        <w:rPr>
          <w:rFonts w:hint="eastAsia" w:ascii="宋体" w:hAnsi="宋体" w:cs="宋体"/>
          <w:color w:val="auto"/>
          <w:szCs w:val="21"/>
          <w:highlight w:val="none"/>
          <w:lang w:val="zh-CN"/>
        </w:rPr>
        <w:t>二十、合同的生效</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1.本合同经甲方、乙方法定代表人或授权代表人签字并加盖双方公章后生效。</w:t>
      </w:r>
    </w:p>
    <w:p>
      <w:pPr>
        <w:pStyle w:val="56"/>
        <w:tabs>
          <w:tab w:val="right" w:pos="8312"/>
        </w:tabs>
        <w:spacing w:before="0" w:beforeAutospacing="0" w:after="0" w:afterAutospacing="0" w:line="312" w:lineRule="auto"/>
        <w:ind w:firstLine="420" w:firstLineChars="200"/>
        <w:rPr>
          <w:rFonts w:hint="eastAsia" w:cs="宋体"/>
          <w:color w:val="auto"/>
          <w:kern w:val="2"/>
          <w:sz w:val="21"/>
          <w:szCs w:val="21"/>
          <w:highlight w:val="none"/>
        </w:rPr>
      </w:pPr>
      <w:r>
        <w:rPr>
          <w:rFonts w:hint="eastAsia" w:cs="宋体"/>
          <w:color w:val="auto"/>
          <w:kern w:val="2"/>
          <w:sz w:val="21"/>
          <w:szCs w:val="21"/>
          <w:highlight w:val="none"/>
        </w:rPr>
        <w:t>2.本合同一式</w:t>
      </w:r>
      <w:r>
        <w:rPr>
          <w:rFonts w:hint="eastAsia" w:cs="宋体"/>
          <w:color w:val="auto"/>
          <w:kern w:val="2"/>
          <w:sz w:val="21"/>
          <w:szCs w:val="21"/>
          <w:highlight w:val="none"/>
          <w:lang w:val="en-US" w:eastAsia="zh-CN"/>
        </w:rPr>
        <w:t>两</w:t>
      </w:r>
      <w:r>
        <w:rPr>
          <w:rFonts w:hint="eastAsia" w:cs="宋体"/>
          <w:color w:val="auto"/>
          <w:kern w:val="2"/>
          <w:sz w:val="21"/>
          <w:szCs w:val="21"/>
          <w:highlight w:val="none"/>
        </w:rPr>
        <w:t>份，甲乙双方各执</w:t>
      </w:r>
      <w:r>
        <w:rPr>
          <w:rFonts w:hint="eastAsia" w:cs="宋体"/>
          <w:color w:val="auto"/>
          <w:kern w:val="2"/>
          <w:sz w:val="21"/>
          <w:szCs w:val="21"/>
          <w:highlight w:val="none"/>
          <w:lang w:val="en-US" w:eastAsia="zh-CN"/>
        </w:rPr>
        <w:t>一</w:t>
      </w:r>
      <w:r>
        <w:rPr>
          <w:rFonts w:hint="eastAsia" w:cs="宋体"/>
          <w:color w:val="auto"/>
          <w:kern w:val="2"/>
          <w:sz w:val="21"/>
          <w:szCs w:val="21"/>
          <w:highlight w:val="none"/>
        </w:rPr>
        <w:t>份。</w:t>
      </w:r>
    </w:p>
    <w:p>
      <w:pPr>
        <w:rPr>
          <w:rFonts w:hint="eastAsia"/>
          <w:highlight w:val="none"/>
        </w:rPr>
      </w:pPr>
    </w:p>
    <w:p>
      <w:pPr>
        <w:spacing w:line="460" w:lineRule="atLeas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甲方（盖章）：</w:t>
      </w: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rPr>
        <w:t>乙方（盖章）：</w:t>
      </w:r>
    </w:p>
    <w:p>
      <w:pPr>
        <w:spacing w:line="460" w:lineRule="atLeas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法定（授权）代表人（签字）：</w:t>
      </w: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rPr>
        <w:t>法定（授权）代表人（签字）：</w:t>
      </w:r>
    </w:p>
    <w:p>
      <w:pPr>
        <w:spacing w:line="460" w:lineRule="atLeas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联系人：</w:t>
      </w: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rPr>
        <w:t>联系人：</w:t>
      </w:r>
    </w:p>
    <w:p>
      <w:pPr>
        <w:spacing w:line="460" w:lineRule="atLeas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联系电话：</w:t>
      </w: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rPr>
        <w:t>联系电话：</w:t>
      </w:r>
    </w:p>
    <w:p>
      <w:pPr>
        <w:spacing w:line="460" w:lineRule="atLeast"/>
        <w:rPr>
          <w:rFonts w:hint="eastAsia" w:ascii="宋体" w:hAnsi="宋体" w:eastAsia="宋体" w:cs="宋体"/>
          <w:color w:val="auto"/>
          <w:sz w:val="21"/>
          <w:szCs w:val="21"/>
          <w:highlight w:val="none"/>
          <w:lang w:eastAsia="zh-CN"/>
        </w:rPr>
      </w:pPr>
      <w:r>
        <w:rPr>
          <w:rFonts w:hint="eastAsia" w:ascii="宋体" w:hAnsi="宋体" w:eastAsia="宋体" w:cs="宋体"/>
          <w:b w:val="0"/>
          <w:bCs/>
          <w:color w:val="auto"/>
          <w:sz w:val="21"/>
          <w:szCs w:val="21"/>
          <w:highlight w:val="none"/>
        </w:rPr>
        <w:t>签署日期：</w:t>
      </w: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rPr>
        <w:t>签署日期</w:t>
      </w:r>
      <w:r>
        <w:rPr>
          <w:rFonts w:hint="eastAsia" w:ascii="宋体" w:hAnsi="宋体" w:eastAsia="宋体" w:cs="宋体"/>
          <w:b w:val="0"/>
          <w:bCs/>
          <w:color w:val="auto"/>
          <w:sz w:val="21"/>
          <w:szCs w:val="21"/>
          <w:highlight w:val="none"/>
          <w:lang w:eastAsia="zh-CN"/>
        </w:rPr>
        <w:t>：</w:t>
      </w:r>
    </w:p>
    <w:p>
      <w:pPr>
        <w:spacing w:line="460" w:lineRule="atLeast"/>
        <w:rPr>
          <w:rFonts w:ascii="宋体" w:hAnsi="宋体" w:eastAsia="宋体" w:cs="Times New Roman"/>
          <w:color w:val="auto"/>
          <w:szCs w:val="21"/>
          <w:highlight w:val="none"/>
        </w:rPr>
      </w:pPr>
    </w:p>
    <w:p>
      <w:pPr>
        <w:spacing w:line="312" w:lineRule="auto"/>
        <w:jc w:val="both"/>
        <w:rPr>
          <w:rFonts w:hint="eastAsia" w:ascii="宋体" w:hAnsi="宋体" w:cs="宋体"/>
          <w:b/>
          <w:bCs/>
          <w:color w:val="auto"/>
          <w:szCs w:val="21"/>
          <w:highlight w:val="none"/>
        </w:rPr>
      </w:pPr>
    </w:p>
    <w:p>
      <w:pPr>
        <w:pStyle w:val="24"/>
        <w:spacing w:line="312" w:lineRule="auto"/>
        <w:ind w:firstLine="0"/>
        <w:rPr>
          <w:rFonts w:hint="eastAsia" w:ascii="宋体" w:hAnsi="宋体" w:cs="宋体"/>
          <w:color w:val="auto"/>
          <w:sz w:val="21"/>
          <w:szCs w:val="21"/>
          <w:highlight w:val="none"/>
        </w:rPr>
        <w:sectPr>
          <w:pgSz w:w="11906" w:h="16838"/>
          <w:pgMar w:top="1440" w:right="1230" w:bottom="1440" w:left="1230" w:header="851" w:footer="992" w:gutter="0"/>
          <w:pgBorders>
            <w:top w:val="none" w:sz="0" w:space="0"/>
            <w:left w:val="none" w:sz="0" w:space="0"/>
            <w:bottom w:val="none" w:sz="0" w:space="0"/>
            <w:right w:val="none" w:sz="0" w:space="0"/>
          </w:pgBorders>
          <w:cols w:space="720" w:num="1"/>
          <w:docGrid w:linePitch="312" w:charSpace="0"/>
        </w:sectPr>
      </w:pPr>
    </w:p>
    <w:p>
      <w:pPr>
        <w:autoSpaceDE w:val="0"/>
        <w:autoSpaceDN w:val="0"/>
        <w:adjustRightInd w:val="0"/>
        <w:spacing w:line="312" w:lineRule="auto"/>
        <w:jc w:val="center"/>
        <w:outlineLvl w:val="0"/>
        <w:rPr>
          <w:rFonts w:hint="eastAsia" w:ascii="宋体" w:hAnsi="宋体" w:cs="宋体"/>
          <w:color w:val="auto"/>
          <w:szCs w:val="21"/>
          <w:highlight w:val="none"/>
        </w:rPr>
      </w:pPr>
      <w:bookmarkStart w:id="89" w:name="_Toc322352986"/>
      <w:bookmarkStart w:id="90" w:name="_Toc316887628"/>
      <w:bookmarkStart w:id="91" w:name="_Toc354401539"/>
      <w:bookmarkStart w:id="92" w:name="_Toc391380596"/>
      <w:bookmarkStart w:id="93" w:name="_Toc350256317"/>
      <w:bookmarkStart w:id="94" w:name="_Toc18003"/>
      <w:r>
        <w:rPr>
          <w:rFonts w:hint="eastAsia" w:ascii="宋体" w:hAnsi="宋体" w:cs="宋体"/>
          <w:b/>
          <w:bCs/>
          <w:color w:val="auto"/>
          <w:szCs w:val="21"/>
          <w:highlight w:val="none"/>
          <w:lang w:val="zh-CN"/>
        </w:rPr>
        <w:t>第五章</w:t>
      </w:r>
      <w:r>
        <w:rPr>
          <w:rFonts w:hint="eastAsia" w:ascii="宋体" w:hAnsi="宋体" w:cs="宋体"/>
          <w:b/>
          <w:bCs/>
          <w:color w:val="auto"/>
          <w:szCs w:val="21"/>
          <w:highlight w:val="none"/>
        </w:rPr>
        <w:t xml:space="preserve">  </w:t>
      </w:r>
      <w:r>
        <w:rPr>
          <w:rFonts w:hint="eastAsia" w:ascii="宋体" w:hAnsi="宋体" w:cs="宋体"/>
          <w:b/>
          <w:bCs/>
          <w:color w:val="auto"/>
          <w:szCs w:val="21"/>
          <w:highlight w:val="none"/>
          <w:lang w:val="zh-CN"/>
        </w:rPr>
        <w:t>评标办法及开标程序</w:t>
      </w:r>
      <w:bookmarkEnd w:id="89"/>
      <w:bookmarkEnd w:id="90"/>
      <w:bookmarkEnd w:id="91"/>
      <w:bookmarkEnd w:id="92"/>
      <w:bookmarkEnd w:id="93"/>
      <w:bookmarkEnd w:id="94"/>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lang w:val="zh-CN"/>
        </w:rPr>
      </w:pPr>
      <w:bookmarkStart w:id="95" w:name="_Toc8460"/>
      <w:bookmarkStart w:id="96" w:name="_Toc387928046"/>
      <w:bookmarkStart w:id="97" w:name="_Toc391380597"/>
      <w:r>
        <w:rPr>
          <w:rFonts w:hint="eastAsia" w:ascii="宋体" w:hAnsi="宋体" w:cs="宋体"/>
          <w:bCs/>
          <w:color w:val="auto"/>
          <w:szCs w:val="21"/>
          <w:highlight w:val="none"/>
          <w:lang w:val="zh-CN"/>
        </w:rPr>
        <w:t>一、磋商小组的组成</w:t>
      </w:r>
      <w:bookmarkEnd w:id="95"/>
      <w:bookmarkEnd w:id="96"/>
      <w:bookmarkEnd w:id="97"/>
    </w:p>
    <w:p>
      <w:pPr>
        <w:autoSpaceDE w:val="0"/>
        <w:autoSpaceDN w:val="0"/>
        <w:adjustRightInd w:val="0"/>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1.磋商小组由招标人依法组建，磋商小组对磋商响应文件进行审查、质疑、评估和比较，评标全过程由有关监督部门负责监督。</w:t>
      </w:r>
    </w:p>
    <w:p>
      <w:pPr>
        <w:autoSpaceDE w:val="0"/>
        <w:autoSpaceDN w:val="0"/>
        <w:adjustRightInd w:val="0"/>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2.询标期间，投标人法人代表或法人委托人必须在场。负责解答有关事宜。如不在场，则事后不得对采购过程及结果提出异议。</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lang w:val="zh-CN"/>
        </w:rPr>
      </w:pPr>
      <w:bookmarkStart w:id="98" w:name="_Toc29233"/>
      <w:bookmarkStart w:id="99" w:name="_Toc391380598"/>
      <w:r>
        <w:rPr>
          <w:rFonts w:hint="eastAsia" w:ascii="宋体" w:hAnsi="宋体" w:cs="宋体"/>
          <w:bCs/>
          <w:color w:val="auto"/>
          <w:szCs w:val="21"/>
          <w:highlight w:val="none"/>
          <w:lang w:val="zh-CN"/>
        </w:rPr>
        <w:t>二、评标原则</w:t>
      </w:r>
      <w:bookmarkEnd w:id="98"/>
      <w:bookmarkEnd w:id="99"/>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本次评标采用综合评分法。本项目为资信技术分和报价分合计评分，满分为100分。</w:t>
      </w:r>
    </w:p>
    <w:p>
      <w:pPr>
        <w:numPr>
          <w:ilvl w:val="0"/>
          <w:numId w:val="14"/>
        </w:numPr>
        <w:snapToGrid w:val="0"/>
        <w:spacing w:before="120" w:beforeLines="50" w:after="120" w:afterLines="50" w:line="312" w:lineRule="auto"/>
        <w:ind w:firstLine="420" w:firstLineChars="200"/>
        <w:outlineLvl w:val="1"/>
        <w:rPr>
          <w:rFonts w:hint="eastAsia" w:ascii="宋体" w:hAnsi="宋体" w:cs="宋体"/>
          <w:bCs/>
          <w:color w:val="auto"/>
          <w:szCs w:val="21"/>
          <w:highlight w:val="none"/>
          <w:lang w:val="zh-CN"/>
        </w:rPr>
      </w:pPr>
      <w:bookmarkStart w:id="100" w:name="_Toc31619"/>
      <w:bookmarkStart w:id="101" w:name="_Toc391380600"/>
      <w:r>
        <w:rPr>
          <w:rFonts w:hint="eastAsia" w:ascii="宋体" w:hAnsi="宋体" w:cs="宋体"/>
          <w:bCs/>
          <w:color w:val="auto"/>
          <w:szCs w:val="21"/>
          <w:highlight w:val="none"/>
          <w:lang w:val="zh-CN"/>
        </w:rPr>
        <w:t>评分标准</w:t>
      </w:r>
      <w:bookmarkEnd w:id="100"/>
      <w:bookmarkEnd w:id="101"/>
      <w:bookmarkStart w:id="102" w:name="_Toc356371476"/>
      <w:bookmarkStart w:id="103" w:name="_Toc391380601"/>
    </w:p>
    <w:p>
      <w:pPr>
        <w:autoSpaceDE w:val="0"/>
        <w:autoSpaceDN w:val="0"/>
        <w:adjustRightInd w:val="0"/>
        <w:snapToGrid w:val="0"/>
        <w:spacing w:line="312" w:lineRule="auto"/>
        <w:ind w:left="425"/>
        <w:outlineLvl w:val="1"/>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（一）技术商务分（70分）</w:t>
      </w:r>
    </w:p>
    <w:tbl>
      <w:tblPr>
        <w:tblStyle w:val="61"/>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725"/>
        <w:gridCol w:w="6067"/>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b/>
                <w:bCs/>
                <w:color w:val="auto"/>
                <w:szCs w:val="21"/>
                <w:highlight w:val="none"/>
              </w:rPr>
            </w:pPr>
            <w:bookmarkStart w:id="104" w:name="_Toc7462"/>
            <w:bookmarkStart w:id="105" w:name="_Toc1192"/>
            <w:bookmarkStart w:id="106" w:name="_Toc12223"/>
            <w:r>
              <w:rPr>
                <w:rFonts w:hint="eastAsia" w:ascii="宋体" w:hAnsi="宋体" w:cs="宋体"/>
                <w:b/>
                <w:bCs/>
                <w:color w:val="auto"/>
                <w:szCs w:val="21"/>
                <w:highlight w:val="none"/>
              </w:rPr>
              <w:t>序号</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评分项目</w:t>
            </w:r>
          </w:p>
        </w:tc>
        <w:tc>
          <w:tcPr>
            <w:tcW w:w="6067"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评审细则</w:t>
            </w:r>
          </w:p>
        </w:tc>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left"/>
              <w:rPr>
                <w:rFonts w:hint="eastAsia" w:ascii="宋体" w:hAnsi="宋体" w:cs="宋体"/>
                <w:color w:val="auto"/>
                <w:szCs w:val="21"/>
                <w:highlight w:val="none"/>
              </w:rPr>
            </w:pPr>
            <w:r>
              <w:rPr>
                <w:rFonts w:hint="eastAsia" w:ascii="宋体" w:hAnsi="宋体" w:cs="宋体"/>
                <w:color w:val="auto"/>
                <w:szCs w:val="21"/>
                <w:highlight w:val="none"/>
              </w:rPr>
              <w:t>案例</w:t>
            </w:r>
          </w:p>
        </w:tc>
        <w:tc>
          <w:tcPr>
            <w:tcW w:w="6067"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left"/>
              <w:rPr>
                <w:rFonts w:hint="eastAsia" w:ascii="宋体" w:hAnsi="宋体" w:cs="宋体"/>
                <w:color w:val="auto"/>
                <w:szCs w:val="21"/>
                <w:highlight w:val="none"/>
              </w:rPr>
            </w:pPr>
            <w:r>
              <w:rPr>
                <w:rFonts w:hint="eastAsia" w:ascii="宋体" w:hAnsi="宋体" w:cs="宋体"/>
                <w:color w:val="auto"/>
                <w:szCs w:val="21"/>
                <w:highlight w:val="none"/>
              </w:rPr>
              <w:t>投标供应商 201</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年1月1日以来</w:t>
            </w:r>
            <w:r>
              <w:rPr>
                <w:rFonts w:hint="eastAsia" w:ascii="宋体" w:hAnsi="宋体" w:cs="宋体"/>
                <w:color w:val="auto"/>
                <w:szCs w:val="21"/>
                <w:highlight w:val="none"/>
                <w:lang w:val="en-US" w:eastAsia="zh-CN"/>
              </w:rPr>
              <w:t>的食材</w:t>
            </w:r>
            <w:r>
              <w:rPr>
                <w:rFonts w:hint="eastAsia" w:ascii="宋体" w:hAnsi="宋体" w:cs="宋体"/>
                <w:color w:val="auto"/>
                <w:szCs w:val="21"/>
                <w:highlight w:val="none"/>
              </w:rPr>
              <w:t>配送供货服务的成功案例（配送服务内容必须包含</w:t>
            </w:r>
            <w:r>
              <w:rPr>
                <w:rFonts w:hint="eastAsia" w:ascii="宋体" w:hAnsi="宋体" w:cs="宋体"/>
                <w:color w:val="auto"/>
                <w:szCs w:val="21"/>
                <w:highlight w:val="none"/>
                <w:lang w:val="en-US" w:eastAsia="zh-CN"/>
              </w:rPr>
              <w:t>蔬菜</w:t>
            </w:r>
            <w:r>
              <w:rPr>
                <w:rFonts w:hint="eastAsia" w:ascii="宋体" w:hAnsi="宋体" w:cs="宋体"/>
                <w:color w:val="auto"/>
                <w:szCs w:val="21"/>
                <w:highlight w:val="none"/>
              </w:rPr>
              <w:t>类），每份合同</w:t>
            </w:r>
            <w:r>
              <w:rPr>
                <w:rFonts w:hint="eastAsia" w:ascii="宋体" w:hAnsi="宋体" w:cs="宋体"/>
                <w:strike w:val="0"/>
                <w:dstrike w:val="0"/>
                <w:color w:val="auto"/>
                <w:szCs w:val="21"/>
                <w:highlight w:val="none"/>
                <w:u w:val="none"/>
                <w:lang w:val="en-US" w:eastAsia="zh-CN"/>
              </w:rPr>
              <w:t>1</w:t>
            </w:r>
            <w:r>
              <w:rPr>
                <w:rFonts w:hint="eastAsia" w:ascii="宋体" w:hAnsi="宋体" w:cs="宋体"/>
                <w:color w:val="auto"/>
                <w:szCs w:val="21"/>
                <w:highlight w:val="none"/>
              </w:rPr>
              <w:t>分，最高得</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 xml:space="preserve"> 分；需提供合同原件，否则不得分。</w:t>
            </w:r>
          </w:p>
        </w:tc>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default" w:ascii="宋体" w:hAnsi="宋体" w:eastAsia="宋体" w:cs="宋体"/>
                <w:color w:val="auto"/>
                <w:szCs w:val="21"/>
                <w:highlight w:val="none"/>
                <w:lang w:eastAsia="zh-CN"/>
              </w:rPr>
            </w:pPr>
            <w:r>
              <w:rPr>
                <w:rFonts w:hint="eastAsia" w:ascii="宋体" w:hAnsi="宋体" w:cs="宋体"/>
                <w:color w:val="auto"/>
                <w:szCs w:val="21"/>
                <w:highlight w:val="none"/>
              </w:rPr>
              <w:t>0-</w:t>
            </w:r>
            <w:r>
              <w:rPr>
                <w:rFonts w:hint="default" w:ascii="宋体" w:hAnsi="宋体" w:cs="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9" w:type="dxa"/>
            <w:tcBorders>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725" w:type="dxa"/>
            <w:tcBorders>
              <w:left w:val="single" w:color="auto" w:sz="4" w:space="0"/>
              <w:bottom w:val="single" w:color="auto" w:sz="4" w:space="0"/>
              <w:right w:val="single" w:color="auto" w:sz="4" w:space="0"/>
            </w:tcBorders>
            <w:noWrap w:val="0"/>
            <w:vAlign w:val="center"/>
          </w:tcPr>
          <w:p>
            <w:pPr>
              <w:spacing w:line="312" w:lineRule="auto"/>
              <w:jc w:val="left"/>
              <w:rPr>
                <w:rFonts w:hint="eastAsia" w:ascii="宋体" w:hAnsi="宋体" w:cs="宋体"/>
                <w:color w:val="auto"/>
                <w:szCs w:val="21"/>
                <w:highlight w:val="none"/>
              </w:rPr>
            </w:pPr>
            <w:r>
              <w:rPr>
                <w:rFonts w:hint="eastAsia" w:ascii="宋体" w:hAnsi="宋体" w:cs="宋体"/>
                <w:color w:val="auto"/>
                <w:szCs w:val="21"/>
                <w:highlight w:val="none"/>
              </w:rPr>
              <w:t>企业荣誉</w:t>
            </w:r>
          </w:p>
        </w:tc>
        <w:tc>
          <w:tcPr>
            <w:tcW w:w="6067"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投标供应商具有质量管理体系认证证书得 1分、环境管理体系认证证书得 1分、安全管理体系认证证书得 1分，最高 </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 分。无原件不得分。</w:t>
            </w:r>
          </w:p>
        </w:tc>
        <w:tc>
          <w:tcPr>
            <w:tcW w:w="769" w:type="dxa"/>
            <w:tcBorders>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0-</w:t>
            </w: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strike w:val="0"/>
                <w:dstrike w:val="0"/>
                <w:color w:val="auto"/>
                <w:szCs w:val="21"/>
                <w:highlight w:val="none"/>
              </w:rPr>
            </w:pPr>
            <w:r>
              <w:rPr>
                <w:rFonts w:hint="eastAsia" w:ascii="宋体" w:hAnsi="宋体" w:cs="宋体"/>
                <w:strike w:val="0"/>
                <w:dstrike w:val="0"/>
                <w:color w:val="auto"/>
                <w:szCs w:val="21"/>
                <w:highlight w:val="none"/>
              </w:rPr>
              <w:t>3</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312" w:lineRule="auto"/>
              <w:ind w:right="-42" w:rightChars="-20"/>
              <w:jc w:val="left"/>
              <w:rPr>
                <w:rFonts w:hint="eastAsia" w:ascii="宋体" w:hAnsi="宋体" w:cs="宋体"/>
                <w:strike w:val="0"/>
                <w:dstrike w:val="0"/>
                <w:color w:val="auto"/>
                <w:szCs w:val="21"/>
                <w:highlight w:val="none"/>
              </w:rPr>
            </w:pPr>
            <w:r>
              <w:rPr>
                <w:rFonts w:hint="eastAsia" w:ascii="宋体" w:hAnsi="宋体" w:cs="宋体"/>
                <w:strike w:val="0"/>
                <w:dstrike w:val="0"/>
                <w:color w:val="auto"/>
                <w:szCs w:val="21"/>
                <w:highlight w:val="none"/>
              </w:rPr>
              <w:t>农残检测室</w:t>
            </w:r>
          </w:p>
        </w:tc>
        <w:tc>
          <w:tcPr>
            <w:tcW w:w="6067"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left"/>
              <w:rPr>
                <w:rFonts w:hint="eastAsia" w:ascii="宋体" w:hAnsi="宋体" w:cs="宋体"/>
                <w:strike w:val="0"/>
                <w:dstrike w:val="0"/>
                <w:color w:val="auto"/>
                <w:szCs w:val="21"/>
                <w:highlight w:val="none"/>
              </w:rPr>
            </w:pPr>
            <w:r>
              <w:rPr>
                <w:rFonts w:hint="eastAsia" w:ascii="宋体" w:hAnsi="宋体" w:cs="宋体"/>
                <w:strike w:val="0"/>
                <w:dstrike w:val="0"/>
                <w:color w:val="auto"/>
                <w:szCs w:val="21"/>
                <w:highlight w:val="none"/>
              </w:rPr>
              <w:t>投标供应商的食材配送经营活动专用设备配备情况，有独立的农残检测室的得分。提供购买检测设备购置发票原件，并提供实景照片，否则不得分。</w:t>
            </w:r>
          </w:p>
        </w:tc>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strike w:val="0"/>
                <w:dstrike w:val="0"/>
                <w:color w:val="auto"/>
                <w:szCs w:val="21"/>
                <w:highlight w:val="none"/>
              </w:rPr>
            </w:pPr>
            <w:r>
              <w:rPr>
                <w:rFonts w:hint="eastAsia" w:ascii="宋体" w:hAnsi="宋体" w:cs="宋体"/>
                <w:strike w:val="0"/>
                <w:dstrike w:val="0"/>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left"/>
              <w:rPr>
                <w:rFonts w:hint="eastAsia" w:ascii="宋体" w:hAnsi="宋体" w:cs="宋体"/>
                <w:color w:val="auto"/>
                <w:szCs w:val="21"/>
                <w:highlight w:val="none"/>
              </w:rPr>
            </w:pPr>
            <w:r>
              <w:rPr>
                <w:rFonts w:hint="eastAsia" w:ascii="宋体" w:hAnsi="宋体" w:cs="宋体"/>
                <w:color w:val="auto"/>
                <w:szCs w:val="21"/>
                <w:highlight w:val="none"/>
              </w:rPr>
              <w:t>配送车辆</w:t>
            </w:r>
          </w:p>
        </w:tc>
        <w:tc>
          <w:tcPr>
            <w:tcW w:w="6067"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left"/>
              <w:rPr>
                <w:rFonts w:hint="eastAsia" w:ascii="宋体" w:hAnsi="宋体" w:cs="宋体"/>
                <w:color w:val="auto"/>
                <w:szCs w:val="21"/>
                <w:highlight w:val="none"/>
              </w:rPr>
            </w:pPr>
            <w:r>
              <w:rPr>
                <w:rFonts w:hint="eastAsia" w:ascii="宋体" w:hAnsi="宋体" w:cs="宋体"/>
                <w:color w:val="auto"/>
                <w:szCs w:val="21"/>
                <w:highlight w:val="none"/>
              </w:rPr>
              <w:t>投标供应商自行拥有冷藏式配送车辆的一辆得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r>
              <w:rPr>
                <w:rFonts w:hint="eastAsia" w:ascii="宋体" w:hAnsi="宋体" w:cs="宋体"/>
                <w:color w:val="auto"/>
                <w:szCs w:val="21"/>
                <w:highlight w:val="none"/>
                <w:lang w:val="en-US" w:eastAsia="zh-CN"/>
              </w:rPr>
              <w:t>需</w:t>
            </w:r>
            <w:r>
              <w:rPr>
                <w:rFonts w:hint="eastAsia" w:ascii="宋体" w:hAnsi="宋体" w:cs="宋体"/>
                <w:color w:val="auto"/>
                <w:szCs w:val="21"/>
                <w:highlight w:val="none"/>
              </w:rPr>
              <w:t>提供车辆行驶证原件，</w:t>
            </w:r>
            <w:r>
              <w:rPr>
                <w:rFonts w:hint="eastAsia" w:ascii="宋体" w:hAnsi="宋体" w:cs="宋体"/>
                <w:color w:val="auto"/>
                <w:szCs w:val="21"/>
                <w:highlight w:val="none"/>
                <w:lang w:val="en-US" w:eastAsia="zh-CN"/>
              </w:rPr>
              <w:t>最高得6分。</w:t>
            </w:r>
            <w:r>
              <w:rPr>
                <w:rFonts w:hint="eastAsia" w:ascii="宋体" w:hAnsi="宋体" w:cs="宋体"/>
                <w:color w:val="auto"/>
                <w:szCs w:val="21"/>
                <w:highlight w:val="none"/>
              </w:rPr>
              <w:t>车辆所有人与投标供应商名称不符或无行驶证原件的不得分。</w:t>
            </w:r>
          </w:p>
        </w:tc>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0-</w:t>
            </w:r>
            <w:r>
              <w:rPr>
                <w:rFonts w:hint="eastAsia" w:ascii="宋体" w:hAnsi="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9" w:type="dxa"/>
            <w:tcBorders>
              <w:top w:val="single" w:color="auto" w:sz="4" w:space="0"/>
              <w:left w:val="single" w:color="auto" w:sz="4" w:space="0"/>
              <w:right w:val="single" w:color="auto" w:sz="4" w:space="0"/>
            </w:tcBorders>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1725" w:type="dxa"/>
            <w:tcBorders>
              <w:top w:val="single" w:color="auto" w:sz="4" w:space="0"/>
              <w:left w:val="single" w:color="auto" w:sz="4" w:space="0"/>
              <w:right w:val="single" w:color="auto" w:sz="4" w:space="0"/>
            </w:tcBorders>
            <w:noWrap w:val="0"/>
            <w:vAlign w:val="center"/>
          </w:tcPr>
          <w:p>
            <w:pPr>
              <w:spacing w:line="312" w:lineRule="auto"/>
              <w:ind w:right="-42" w:rightChars="-20"/>
              <w:jc w:val="left"/>
              <w:rPr>
                <w:rFonts w:hint="eastAsia" w:ascii="宋体" w:hAnsi="宋体" w:cs="宋体"/>
                <w:color w:val="auto"/>
                <w:szCs w:val="21"/>
                <w:highlight w:val="none"/>
              </w:rPr>
            </w:pPr>
            <w:r>
              <w:rPr>
                <w:rFonts w:hint="eastAsia" w:ascii="宋体" w:hAnsi="宋体" w:cs="宋体"/>
                <w:color w:val="auto"/>
                <w:szCs w:val="21"/>
                <w:highlight w:val="none"/>
              </w:rPr>
              <w:t>企业实力情况</w:t>
            </w:r>
          </w:p>
        </w:tc>
        <w:tc>
          <w:tcPr>
            <w:tcW w:w="6067" w:type="dxa"/>
            <w:tcBorders>
              <w:top w:val="single" w:color="auto" w:sz="4" w:space="0"/>
              <w:left w:val="single" w:color="auto" w:sz="4" w:space="0"/>
              <w:right w:val="single" w:color="auto" w:sz="4" w:space="0"/>
            </w:tcBorders>
            <w:noWrap w:val="0"/>
            <w:vAlign w:val="center"/>
          </w:tcPr>
          <w:p>
            <w:pPr>
              <w:spacing w:line="312" w:lineRule="auto"/>
              <w:jc w:val="left"/>
              <w:rPr>
                <w:rFonts w:hint="eastAsia" w:ascii="宋体" w:hAnsi="宋体" w:cs="宋体"/>
                <w:color w:val="auto"/>
                <w:szCs w:val="21"/>
                <w:highlight w:val="none"/>
              </w:rPr>
            </w:pPr>
            <w:r>
              <w:rPr>
                <w:rFonts w:hint="eastAsia" w:ascii="宋体" w:hAnsi="宋体" w:cs="宋体"/>
                <w:color w:val="auto"/>
                <w:szCs w:val="21"/>
                <w:highlight w:val="none"/>
              </w:rPr>
              <w:t>具有固定分拣场所的证明材料，根据分拣场所作业环境、作业流程等情况进行横向比较并打分。</w:t>
            </w:r>
          </w:p>
        </w:tc>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0-</w:t>
            </w: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312" w:lineRule="auto"/>
              <w:ind w:right="-42" w:rightChars="-20"/>
              <w:jc w:val="left"/>
              <w:rPr>
                <w:rFonts w:hint="eastAsia" w:ascii="宋体" w:hAnsi="宋体" w:cs="宋体"/>
                <w:color w:val="auto"/>
                <w:szCs w:val="21"/>
                <w:highlight w:val="none"/>
              </w:rPr>
            </w:pPr>
            <w:r>
              <w:rPr>
                <w:rFonts w:hint="eastAsia" w:ascii="宋体" w:hAnsi="宋体" w:cs="宋体"/>
                <w:color w:val="auto"/>
                <w:szCs w:val="21"/>
                <w:highlight w:val="none"/>
              </w:rPr>
              <w:t>实施方案</w:t>
            </w:r>
          </w:p>
        </w:tc>
        <w:tc>
          <w:tcPr>
            <w:tcW w:w="6067"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left"/>
              <w:rPr>
                <w:rFonts w:hint="eastAsia" w:ascii="宋体" w:hAnsi="宋体" w:cs="宋体"/>
                <w:color w:val="auto"/>
                <w:szCs w:val="21"/>
                <w:highlight w:val="none"/>
              </w:rPr>
            </w:pPr>
            <w:r>
              <w:rPr>
                <w:rFonts w:hint="eastAsia" w:ascii="宋体" w:hAnsi="宋体" w:cs="宋体"/>
                <w:color w:val="auto"/>
                <w:szCs w:val="21"/>
                <w:highlight w:val="none"/>
              </w:rPr>
              <w:t>投标供应商对采购服务项目总体实施方案（包含运行方案、管理</w:t>
            </w:r>
            <w:r>
              <w:rPr>
                <w:rFonts w:hint="eastAsia" w:ascii="宋体" w:hAnsi="宋体" w:cs="宋体"/>
                <w:color w:val="auto"/>
                <w:szCs w:val="21"/>
                <w:highlight w:val="none"/>
                <w:lang w:val="en-US" w:eastAsia="zh-CN"/>
              </w:rPr>
              <w:t>制度</w:t>
            </w:r>
            <w:r>
              <w:rPr>
                <w:rFonts w:hint="eastAsia" w:ascii="宋体" w:hAnsi="宋体" w:cs="宋体"/>
                <w:color w:val="auto"/>
                <w:szCs w:val="21"/>
                <w:highlight w:val="none"/>
              </w:rPr>
              <w:t>、管理目标、仓储情况、难点要点分析等），结合各采购响应文件，由评委根据投标单位提供的方案进行横向打分。</w:t>
            </w:r>
          </w:p>
        </w:tc>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7</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312" w:lineRule="auto"/>
              <w:ind w:right="-42" w:rightChars="-20"/>
              <w:jc w:val="left"/>
              <w:rPr>
                <w:rFonts w:hint="eastAsia" w:ascii="宋体" w:hAnsi="宋体" w:cs="宋体"/>
                <w:color w:val="auto"/>
                <w:szCs w:val="21"/>
                <w:highlight w:val="none"/>
              </w:rPr>
            </w:pPr>
            <w:r>
              <w:rPr>
                <w:rFonts w:hint="eastAsia" w:ascii="宋体" w:hAnsi="宋体" w:cs="宋体"/>
                <w:color w:val="auto"/>
                <w:szCs w:val="21"/>
                <w:highlight w:val="none"/>
              </w:rPr>
              <w:t>保证商品质量的技术方案和措施</w:t>
            </w:r>
          </w:p>
        </w:tc>
        <w:tc>
          <w:tcPr>
            <w:tcW w:w="6067"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left"/>
              <w:rPr>
                <w:rFonts w:hint="eastAsia" w:ascii="宋体" w:hAnsi="宋体" w:cs="宋体"/>
                <w:color w:val="auto"/>
                <w:szCs w:val="21"/>
                <w:highlight w:val="none"/>
              </w:rPr>
            </w:pPr>
            <w:r>
              <w:rPr>
                <w:rFonts w:hint="eastAsia" w:ascii="宋体" w:hAnsi="宋体" w:cs="宋体"/>
                <w:color w:val="auto"/>
                <w:szCs w:val="21"/>
                <w:highlight w:val="none"/>
              </w:rPr>
              <w:t>保证商品质量的技术方案和措施（时间安排、人员配备、送货配备、产品质量的保证等），根据方案及措施的严密性、科学性进行评分，由评委根据投标单位提供的方案进行横向打分。</w:t>
            </w:r>
          </w:p>
        </w:tc>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8</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312" w:lineRule="auto"/>
              <w:ind w:right="-42" w:rightChars="-20"/>
              <w:jc w:val="left"/>
              <w:rPr>
                <w:rFonts w:hint="eastAsia" w:ascii="宋体" w:hAnsi="宋体" w:cs="宋体"/>
                <w:color w:val="auto"/>
                <w:szCs w:val="21"/>
                <w:highlight w:val="none"/>
              </w:rPr>
            </w:pPr>
            <w:r>
              <w:rPr>
                <w:rFonts w:hint="eastAsia" w:ascii="宋体" w:hAnsi="宋体" w:cs="宋体"/>
                <w:color w:val="auto"/>
                <w:szCs w:val="21"/>
                <w:highlight w:val="none"/>
              </w:rPr>
              <w:t>应急实施方案</w:t>
            </w:r>
          </w:p>
        </w:tc>
        <w:tc>
          <w:tcPr>
            <w:tcW w:w="6067"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left"/>
              <w:rPr>
                <w:rFonts w:hint="eastAsia" w:ascii="宋体" w:hAnsi="宋体" w:cs="宋体"/>
                <w:color w:val="auto"/>
                <w:szCs w:val="21"/>
                <w:highlight w:val="none"/>
              </w:rPr>
            </w:pPr>
            <w:r>
              <w:rPr>
                <w:rFonts w:hint="eastAsia" w:ascii="宋体" w:hAnsi="宋体" w:cs="宋体"/>
                <w:color w:val="auto"/>
                <w:szCs w:val="21"/>
                <w:highlight w:val="none"/>
              </w:rPr>
              <w:t>应急实施方案（临时突发性特殊采购、急件采购、大宗采购等服务项目）的科学性、合理性，由评委根据投标单位提供的方案进行横向打分。</w:t>
            </w:r>
          </w:p>
        </w:tc>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9</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312" w:lineRule="auto"/>
              <w:ind w:right="-42" w:rightChars="-20"/>
              <w:jc w:val="left"/>
              <w:rPr>
                <w:rFonts w:hint="eastAsia" w:ascii="宋体" w:hAnsi="宋体" w:cs="宋体"/>
                <w:color w:val="auto"/>
                <w:szCs w:val="21"/>
                <w:highlight w:val="none"/>
              </w:rPr>
            </w:pPr>
            <w:r>
              <w:rPr>
                <w:rFonts w:hint="eastAsia" w:ascii="宋体" w:hAnsi="宋体" w:cs="宋体"/>
                <w:color w:val="auto"/>
                <w:szCs w:val="21"/>
                <w:highlight w:val="none"/>
              </w:rPr>
              <w:t>拟派人员配置</w:t>
            </w:r>
          </w:p>
        </w:tc>
        <w:tc>
          <w:tcPr>
            <w:tcW w:w="6067" w:type="dxa"/>
            <w:tcBorders>
              <w:top w:val="single" w:color="auto" w:sz="4" w:space="0"/>
              <w:left w:val="single" w:color="auto" w:sz="4" w:space="0"/>
              <w:right w:val="single" w:color="auto" w:sz="4" w:space="0"/>
            </w:tcBorders>
            <w:noWrap w:val="0"/>
            <w:vAlign w:val="center"/>
          </w:tcPr>
          <w:p>
            <w:pPr>
              <w:spacing w:line="312"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拟指派服务人员中，持有食品健康证（有效期内）的每人次得 0.5分，最高 </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 xml:space="preserve"> 分。具有食品检测工证书的得 1 分，具有食品安全员证书的得1 分，同一人只记 1 次最高得分，提供以上人员的相关证书原件和在投标单位缴纳社保证明原件，否则不得分。</w:t>
            </w:r>
          </w:p>
        </w:tc>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default" w:ascii="宋体" w:hAnsi="宋体" w:cs="宋体"/>
                <w:color w:val="auto"/>
                <w:szCs w:val="21"/>
                <w:highlight w:val="none"/>
              </w:rPr>
            </w:pPr>
            <w:r>
              <w:rPr>
                <w:rFonts w:hint="eastAsia" w:ascii="宋体" w:hAnsi="宋体" w:cs="宋体"/>
                <w:color w:val="auto"/>
                <w:szCs w:val="21"/>
                <w:highlight w:val="none"/>
              </w:rPr>
              <w:t>0-</w:t>
            </w:r>
            <w:r>
              <w:rPr>
                <w:rFonts w:hint="default" w:ascii="宋体" w:hAnsi="宋体" w:cs="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10</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312" w:lineRule="auto"/>
              <w:ind w:right="-42" w:rightChars="-20"/>
              <w:jc w:val="left"/>
              <w:rPr>
                <w:rFonts w:hint="eastAsia" w:ascii="宋体" w:hAnsi="宋体" w:cs="宋体"/>
                <w:color w:val="auto"/>
                <w:szCs w:val="21"/>
                <w:highlight w:val="none"/>
              </w:rPr>
            </w:pPr>
            <w:r>
              <w:rPr>
                <w:rFonts w:hint="eastAsia" w:ascii="宋体" w:hAnsi="宋体" w:cs="宋体"/>
                <w:color w:val="auto"/>
                <w:szCs w:val="21"/>
                <w:highlight w:val="none"/>
              </w:rPr>
              <w:t>售后服务方案及承诺</w:t>
            </w:r>
          </w:p>
        </w:tc>
        <w:tc>
          <w:tcPr>
            <w:tcW w:w="6067"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left"/>
              <w:rPr>
                <w:rFonts w:hint="eastAsia" w:ascii="宋体" w:hAnsi="宋体" w:cs="宋体"/>
                <w:color w:val="auto"/>
                <w:szCs w:val="21"/>
                <w:highlight w:val="none"/>
              </w:rPr>
            </w:pPr>
            <w:r>
              <w:rPr>
                <w:rFonts w:hint="eastAsia" w:ascii="宋体" w:hAnsi="宋体" w:cs="宋体"/>
                <w:color w:val="auto"/>
                <w:szCs w:val="21"/>
                <w:highlight w:val="none"/>
              </w:rPr>
              <w:t>由评委根据投标供应商提供的售后服务方案及承诺进行比较并作横向打分。</w:t>
            </w:r>
          </w:p>
        </w:tc>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11</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312" w:lineRule="auto"/>
              <w:ind w:right="-42" w:rightChars="-20"/>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食品安全责任险</w:t>
            </w:r>
          </w:p>
        </w:tc>
        <w:tc>
          <w:tcPr>
            <w:tcW w:w="6067"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供应商提供连续三年不间断的“食品安全责任险“保单复印件，一年得一分，”最高的3分。</w:t>
            </w:r>
          </w:p>
        </w:tc>
        <w:tc>
          <w:tcPr>
            <w:tcW w:w="769" w:type="dxa"/>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0-3</w:t>
            </w:r>
          </w:p>
        </w:tc>
      </w:tr>
    </w:tbl>
    <w:p>
      <w:pPr>
        <w:autoSpaceDE w:val="0"/>
        <w:autoSpaceDN w:val="0"/>
        <w:adjustRightInd w:val="0"/>
        <w:snapToGrid w:val="0"/>
        <w:spacing w:line="312" w:lineRule="auto"/>
        <w:ind w:left="425"/>
        <w:outlineLvl w:val="1"/>
        <w:rPr>
          <w:rFonts w:hint="eastAsia" w:ascii="宋体" w:hAnsi="宋体" w:cs="宋体"/>
          <w:b/>
          <w:bCs/>
          <w:color w:val="auto"/>
          <w:sz w:val="21"/>
          <w:szCs w:val="21"/>
          <w:highlight w:val="none"/>
          <w:lang w:val="zh-CN"/>
        </w:rPr>
      </w:pPr>
      <w:r>
        <w:rPr>
          <w:rFonts w:hint="eastAsia" w:ascii="宋体" w:hAnsi="宋体" w:cs="宋体"/>
          <w:b/>
          <w:bCs/>
          <w:color w:val="auto"/>
          <w:sz w:val="21"/>
          <w:szCs w:val="21"/>
          <w:highlight w:val="none"/>
          <w:lang w:val="zh-CN"/>
        </w:rPr>
        <w:t>（二）报价分（</w:t>
      </w:r>
      <w:r>
        <w:rPr>
          <w:rFonts w:hint="eastAsia" w:ascii="宋体" w:hAnsi="宋体" w:cs="宋体"/>
          <w:b/>
          <w:bCs/>
          <w:color w:val="auto"/>
          <w:sz w:val="21"/>
          <w:szCs w:val="21"/>
          <w:highlight w:val="none"/>
        </w:rPr>
        <w:t>3</w:t>
      </w:r>
      <w:r>
        <w:rPr>
          <w:rFonts w:hint="eastAsia" w:ascii="宋体" w:hAnsi="宋体" w:cs="宋体"/>
          <w:b/>
          <w:bCs/>
          <w:color w:val="auto"/>
          <w:sz w:val="21"/>
          <w:szCs w:val="21"/>
          <w:highlight w:val="none"/>
          <w:lang w:val="zh-CN"/>
        </w:rPr>
        <w:t>0分）</w:t>
      </w:r>
      <w:bookmarkEnd w:id="104"/>
    </w:p>
    <w:p>
      <w:pPr>
        <w:pStyle w:val="216"/>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1.投标限价：</w:t>
      </w:r>
      <w:r>
        <w:rPr>
          <w:rFonts w:hint="eastAsia" w:ascii="宋体" w:hAnsi="宋体" w:cs="宋体"/>
          <w:color w:val="auto"/>
          <w:sz w:val="21"/>
          <w:szCs w:val="21"/>
          <w:highlight w:val="none"/>
        </w:rPr>
        <w:t>本次投标报价下浮率不低于</w:t>
      </w:r>
      <w:r>
        <w:rPr>
          <w:rFonts w:hint="eastAsia" w:ascii="宋体" w:hAnsi="宋体" w:cs="宋体"/>
          <w:color w:val="auto"/>
          <w:sz w:val="21"/>
          <w:szCs w:val="21"/>
          <w:highlight w:val="none"/>
          <w:lang w:val="en-US" w:eastAsia="zh-CN"/>
        </w:rPr>
        <w:t>28</w:t>
      </w:r>
      <w:r>
        <w:rPr>
          <w:rFonts w:hint="eastAsia" w:ascii="宋体" w:hAnsi="宋体" w:cs="宋体"/>
          <w:color w:val="auto"/>
          <w:sz w:val="21"/>
          <w:szCs w:val="21"/>
          <w:highlight w:val="none"/>
        </w:rPr>
        <w:t>%。</w:t>
      </w:r>
    </w:p>
    <w:p>
      <w:pPr>
        <w:pStyle w:val="216"/>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最终结算供货单价=询价单价*（1-投标报价下浮率），数量按实结算。</w:t>
      </w:r>
    </w:p>
    <w:p>
      <w:pPr>
        <w:pStyle w:val="2"/>
        <w:keepNext w:val="0"/>
        <w:keepLines w:val="0"/>
        <w:pageBreakBefore w:val="0"/>
        <w:widowControl w:val="0"/>
        <w:kinsoku/>
        <w:wordWrap/>
        <w:overflowPunct/>
        <w:topLinePunct w:val="0"/>
        <w:autoSpaceDE/>
        <w:autoSpaceDN/>
        <w:bidi w:val="0"/>
        <w:adjustRightInd/>
        <w:snapToGrid/>
        <w:ind w:firstLine="50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询价单价：</w:t>
      </w:r>
      <w:r>
        <w:rPr>
          <w:rFonts w:hint="eastAsia" w:ascii="宋体" w:hAnsi="宋体" w:eastAsia="宋体" w:cs="宋体"/>
          <w:b w:val="0"/>
          <w:bCs w:val="0"/>
          <w:color w:val="auto"/>
          <w:sz w:val="21"/>
          <w:szCs w:val="21"/>
          <w:highlight w:val="none"/>
          <w:lang w:val="en-US" w:eastAsia="zh-CN"/>
        </w:rPr>
        <w:t>取自南湖菜场、</w:t>
      </w:r>
      <w:r>
        <w:rPr>
          <w:rFonts w:hint="eastAsia" w:ascii="宋体" w:hAnsi="宋体" w:eastAsia="宋体" w:cs="宋体"/>
          <w:b w:val="0"/>
          <w:bCs w:val="0"/>
          <w:color w:val="auto"/>
          <w:sz w:val="21"/>
          <w:szCs w:val="21"/>
          <w:highlight w:val="none"/>
        </w:rPr>
        <w:t>大润发超市及衢州市东方超市同类产品零售价</w:t>
      </w:r>
      <w:r>
        <w:rPr>
          <w:rFonts w:hint="eastAsia" w:ascii="宋体" w:hAnsi="宋体" w:eastAsia="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rPr>
        <w:t>平均价格作为询价单价。</w:t>
      </w:r>
    </w:p>
    <w:p>
      <w:pPr>
        <w:tabs>
          <w:tab w:val="left" w:pos="9751"/>
        </w:tabs>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投标人估算错误或漏项的风险均由投标人承担。投标人应按招标文件要求进行报价。</w:t>
      </w:r>
    </w:p>
    <w:p>
      <w:pPr>
        <w:pStyle w:val="216"/>
        <w:spacing w:line="312"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2.评定评标基准价：满足评标要求的投标报价下浮率的最高值。</w:t>
      </w:r>
    </w:p>
    <w:p>
      <w:pPr>
        <w:spacing w:line="312" w:lineRule="auto"/>
        <w:ind w:firstLine="420" w:firstLineChars="200"/>
        <w:rPr>
          <w:rFonts w:hint="eastAsia" w:ascii="宋体" w:hAnsi="宋体" w:cs="宋体"/>
          <w:color w:val="auto"/>
          <w:szCs w:val="21"/>
          <w:highlight w:val="none"/>
          <w:shd w:val="clear" w:color="auto" w:fill="FFFFFF"/>
        </w:rPr>
      </w:pPr>
      <w:r>
        <w:rPr>
          <w:rFonts w:hint="eastAsia" w:ascii="宋体" w:hAnsi="宋体" w:cs="宋体"/>
          <w:color w:val="auto"/>
          <w:szCs w:val="21"/>
          <w:highlight w:val="none"/>
        </w:rPr>
        <w:t>投标报价得分=（1-评标基准价）/（1-投标人投标报价下浮率）×价格权值（30%）×100。四舍五入，保留两位小数。</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四、开评标程序</w:t>
      </w:r>
      <w:bookmarkEnd w:id="105"/>
      <w:bookmarkEnd w:id="106"/>
    </w:p>
    <w:p>
      <w:pPr>
        <w:autoSpaceDE w:val="0"/>
        <w:autoSpaceDN w:val="0"/>
        <w:adjustRightInd w:val="0"/>
        <w:snapToGrid w:val="0"/>
        <w:spacing w:line="312"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rPr>
        <w:t>1.主持人宣布投标截止时间，截止时间以北京时间为准，宣布招标会议开始；</w:t>
      </w:r>
    </w:p>
    <w:p>
      <w:pPr>
        <w:autoSpaceDE w:val="0"/>
        <w:autoSpaceDN w:val="0"/>
        <w:adjustRightInd w:val="0"/>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2.工作人员确认供应商法定代表人或授权委托代理人资格、到场等情况；</w:t>
      </w:r>
    </w:p>
    <w:p>
      <w:pPr>
        <w:autoSpaceDE w:val="0"/>
        <w:autoSpaceDN w:val="0"/>
        <w:adjustRightInd w:val="0"/>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3.工作人员检查各供应商的磋商响应文件密封、标记情况；</w:t>
      </w:r>
    </w:p>
    <w:p>
      <w:pPr>
        <w:autoSpaceDE w:val="0"/>
        <w:autoSpaceDN w:val="0"/>
        <w:adjustRightInd w:val="0"/>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4.工作人员当众启封各投标人的资信技术文件，清点磋商响应文件正本、副本数量，符合磋商文件要求的送评标室评审，磋商小组根据需要与供应商进行各轮磋商并打分； </w:t>
      </w:r>
    </w:p>
    <w:p>
      <w:pPr>
        <w:autoSpaceDE w:val="0"/>
        <w:autoSpaceDN w:val="0"/>
        <w:adjustRightInd w:val="0"/>
        <w:snapToGrid w:val="0"/>
        <w:spacing w:line="312" w:lineRule="auto"/>
        <w:ind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5.由工作人员宣读资信技术文件部分结果</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但不公布资信技术分值；</w:t>
      </w:r>
    </w:p>
    <w:p>
      <w:pPr>
        <w:autoSpaceDE w:val="0"/>
        <w:autoSpaceDN w:val="0"/>
        <w:adjustRightInd w:val="0"/>
        <w:snapToGrid w:val="0"/>
        <w:spacing w:line="312"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6.工作人员当众启封资信技术文件通过符合性审查的报价文件，磋商小组根据需要与供应商进行各轮磋商，并要求供应商在规定时间内提交最后报价</w:t>
      </w:r>
      <w:r>
        <w:rPr>
          <w:rFonts w:hint="eastAsia" w:ascii="宋体" w:hAnsi="宋体" w:cs="宋体"/>
          <w:color w:val="auto"/>
          <w:szCs w:val="21"/>
          <w:highlight w:val="none"/>
          <w:lang w:eastAsia="zh-CN"/>
        </w:rPr>
        <w:t>；</w:t>
      </w:r>
    </w:p>
    <w:p>
      <w:pPr>
        <w:autoSpaceDE w:val="0"/>
        <w:autoSpaceDN w:val="0"/>
        <w:adjustRightInd w:val="0"/>
        <w:snapToGrid w:val="0"/>
        <w:spacing w:line="312"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7.最后由工作人员计算出各供应商的报价得分，在现场监督人员的监督下，进行复核，然后加计总分后当场公布各供应商的最后报价、各项得分及总分，磋商小组按评标办法和细则规定推荐入</w:t>
      </w:r>
      <w:r>
        <w:rPr>
          <w:rFonts w:hint="eastAsia" w:ascii="宋体" w:hAnsi="宋体" w:cs="宋体"/>
          <w:color w:val="auto"/>
          <w:szCs w:val="21"/>
          <w:highlight w:val="none"/>
          <w:lang w:val="en-US" w:eastAsia="zh-CN"/>
        </w:rPr>
        <w:t>中标候选</w:t>
      </w:r>
      <w:r>
        <w:rPr>
          <w:rFonts w:hint="eastAsia" w:ascii="宋体" w:hAnsi="宋体" w:cs="宋体"/>
          <w:color w:val="auto"/>
          <w:szCs w:val="21"/>
          <w:highlight w:val="none"/>
        </w:rPr>
        <w:t>人</w:t>
      </w:r>
      <w:r>
        <w:rPr>
          <w:rFonts w:hint="eastAsia" w:ascii="宋体" w:hAnsi="宋体" w:cs="宋体"/>
          <w:color w:val="auto"/>
          <w:szCs w:val="21"/>
          <w:highlight w:val="none"/>
          <w:lang w:eastAsia="zh-CN"/>
        </w:rPr>
        <w:t>；</w:t>
      </w:r>
    </w:p>
    <w:p>
      <w:pPr>
        <w:autoSpaceDE w:val="0"/>
        <w:autoSpaceDN w:val="0"/>
        <w:adjustRightInd w:val="0"/>
        <w:snapToGrid w:val="0"/>
        <w:spacing w:line="312" w:lineRule="auto"/>
        <w:ind w:left="425"/>
        <w:outlineLvl w:val="1"/>
        <w:rPr>
          <w:rFonts w:hint="eastAsia" w:ascii="宋体" w:hAnsi="宋体" w:cs="宋体"/>
          <w:b/>
          <w:bCs/>
          <w:color w:val="auto"/>
          <w:szCs w:val="21"/>
          <w:highlight w:val="none"/>
        </w:rPr>
      </w:pPr>
      <w:bookmarkStart w:id="107" w:name="_Toc15724"/>
      <w:bookmarkStart w:id="108" w:name="_Toc23334"/>
      <w:bookmarkStart w:id="109" w:name="_Toc28909"/>
      <w:r>
        <w:rPr>
          <w:rFonts w:hint="eastAsia" w:ascii="宋体" w:hAnsi="宋体" w:cs="宋体"/>
          <w:color w:val="auto"/>
          <w:szCs w:val="21"/>
          <w:highlight w:val="none"/>
        </w:rPr>
        <w:t>8.开标会结束。</w:t>
      </w:r>
      <w:bookmarkEnd w:id="107"/>
      <w:bookmarkEnd w:id="108"/>
      <w:bookmarkEnd w:id="109"/>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lang w:val="zh-CN"/>
        </w:rPr>
      </w:pPr>
      <w:bookmarkStart w:id="110" w:name="_Toc24837"/>
      <w:r>
        <w:rPr>
          <w:rFonts w:hint="eastAsia" w:ascii="宋体" w:hAnsi="宋体" w:cs="宋体"/>
          <w:bCs/>
          <w:color w:val="auto"/>
          <w:szCs w:val="21"/>
          <w:highlight w:val="none"/>
          <w:lang w:val="zh-CN"/>
        </w:rPr>
        <w:t>五、定标办法</w:t>
      </w:r>
      <w:bookmarkEnd w:id="110"/>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1.本次招标由磋商小组推荐1名中标候选人。</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2.磋商小组依据法律、法规及磋商文件有关规定，对通过磋商响应文件评审的，综合评分最高的为第一中标候选人。如出现综合评分相同时，</w:t>
      </w:r>
      <w:r>
        <w:rPr>
          <w:rFonts w:hint="eastAsia" w:ascii="宋体" w:hAnsi="宋体" w:cs="宋体"/>
          <w:color w:val="auto"/>
          <w:szCs w:val="21"/>
          <w:highlight w:val="none"/>
          <w:lang w:val="zh-CN"/>
        </w:rPr>
        <w:t>则选取报价低者；如报价也相同时，则现场抽签确定。</w:t>
      </w:r>
    </w:p>
    <w:p>
      <w:pPr>
        <w:spacing w:line="312"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3</w:t>
      </w:r>
      <w:r>
        <w:rPr>
          <w:rFonts w:hint="eastAsia" w:ascii="宋体" w:hAnsi="宋体" w:cs="宋体"/>
          <w:color w:val="auto"/>
          <w:szCs w:val="21"/>
          <w:highlight w:val="none"/>
        </w:rPr>
        <w:t>.</w:t>
      </w:r>
      <w:r>
        <w:rPr>
          <w:rFonts w:hint="eastAsia" w:ascii="宋体" w:hAnsi="宋体" w:cs="宋体"/>
          <w:color w:val="auto"/>
          <w:szCs w:val="21"/>
          <w:highlight w:val="none"/>
          <w:lang w:val="zh-CN"/>
        </w:rPr>
        <w:t>如第一中标候选人放弃中标</w:t>
      </w:r>
      <w:r>
        <w:rPr>
          <w:rFonts w:hint="eastAsia" w:ascii="宋体" w:hAnsi="宋体" w:cs="宋体"/>
          <w:color w:val="auto"/>
          <w:szCs w:val="21"/>
          <w:highlight w:val="none"/>
        </w:rPr>
        <w:t>；</w:t>
      </w:r>
      <w:r>
        <w:rPr>
          <w:rFonts w:hint="eastAsia" w:ascii="宋体" w:hAnsi="宋体" w:cs="宋体"/>
          <w:color w:val="auto"/>
          <w:szCs w:val="21"/>
          <w:highlight w:val="none"/>
          <w:lang w:val="zh-CN"/>
        </w:rPr>
        <w:t>因不可抗力提出不能履行合同；或未能在规定时间内与招标人签订合同的；或者经质疑，招标人审查后，确因第一中标候选人在本次招标活动中存在违法违规行为或其他原因使质疑成立的；或招标人可视具体情况确定是否由第二中标候选人为中标人，也可以重新招标。</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lang w:val="zh-CN"/>
        </w:rPr>
      </w:pPr>
      <w:bookmarkStart w:id="111" w:name="_Toc2819"/>
      <w:r>
        <w:rPr>
          <w:rFonts w:hint="eastAsia" w:ascii="宋体" w:hAnsi="宋体" w:cs="宋体"/>
          <w:bCs/>
          <w:color w:val="auto"/>
          <w:szCs w:val="21"/>
          <w:highlight w:val="none"/>
          <w:lang w:val="zh-CN"/>
        </w:rPr>
        <w:t>六、确定中标人</w:t>
      </w:r>
      <w:bookmarkEnd w:id="111"/>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评标结束后，招标人将在衢州市第三医院外网上公示中标结果。公示期结束后，在规定期限内无异议则招标机构将向中标人发出中标通知书。</w:t>
      </w:r>
    </w:p>
    <w:p>
      <w:pPr>
        <w:snapToGrid w:val="0"/>
        <w:spacing w:before="120" w:beforeLines="50" w:after="120" w:afterLines="50" w:line="312" w:lineRule="auto"/>
        <w:ind w:firstLine="420" w:firstLineChars="200"/>
        <w:outlineLvl w:val="1"/>
        <w:rPr>
          <w:rFonts w:hint="eastAsia" w:ascii="宋体" w:hAnsi="宋体" w:cs="宋体"/>
          <w:bCs/>
          <w:color w:val="auto"/>
          <w:szCs w:val="21"/>
          <w:highlight w:val="none"/>
          <w:lang w:val="zh-CN"/>
        </w:rPr>
      </w:pPr>
      <w:bookmarkStart w:id="112" w:name="_Toc7848"/>
      <w:r>
        <w:rPr>
          <w:rFonts w:hint="eastAsia" w:ascii="宋体" w:hAnsi="宋体" w:cs="宋体"/>
          <w:bCs/>
          <w:color w:val="auto"/>
          <w:szCs w:val="21"/>
          <w:highlight w:val="none"/>
          <w:lang w:val="zh-CN"/>
        </w:rPr>
        <w:t>七、投标人义务</w:t>
      </w:r>
      <w:bookmarkEnd w:id="112"/>
    </w:p>
    <w:p>
      <w:pPr>
        <w:pStyle w:val="216"/>
        <w:spacing w:line="312" w:lineRule="auto"/>
        <w:ind w:firstLine="420" w:firstLineChars="200"/>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rPr>
        <w:t>投标人应随时接受磋商小组的询标，解答包括有关的商务、技术问题等。评标结束，所有评标资料存招标机构备查。</w:t>
      </w:r>
    </w:p>
    <w:bookmarkEnd w:id="102"/>
    <w:bookmarkEnd w:id="103"/>
    <w:p>
      <w:pPr>
        <w:spacing w:line="312" w:lineRule="auto"/>
        <w:rPr>
          <w:rFonts w:hint="eastAsia" w:ascii="宋体" w:hAnsi="宋体" w:cs="宋体"/>
          <w:color w:val="auto"/>
          <w:szCs w:val="21"/>
          <w:highlight w:val="none"/>
        </w:rPr>
        <w:sectPr>
          <w:pgSz w:w="11906" w:h="16838"/>
          <w:pgMar w:top="1440" w:right="1230" w:bottom="1558" w:left="1230" w:header="851" w:footer="992" w:gutter="0"/>
          <w:pgBorders>
            <w:top w:val="none" w:sz="0" w:space="0"/>
            <w:left w:val="none" w:sz="0" w:space="0"/>
            <w:bottom w:val="none" w:sz="0" w:space="0"/>
            <w:right w:val="none" w:sz="0" w:space="0"/>
          </w:pgBorders>
          <w:cols w:space="720" w:num="1"/>
          <w:docGrid w:linePitch="312" w:charSpace="0"/>
        </w:sectPr>
      </w:pPr>
    </w:p>
    <w:bookmarkEnd w:id="78"/>
    <w:p>
      <w:pPr>
        <w:snapToGrid w:val="0"/>
        <w:spacing w:line="312" w:lineRule="auto"/>
        <w:jc w:val="center"/>
        <w:outlineLvl w:val="0"/>
        <w:rPr>
          <w:rFonts w:hint="eastAsia" w:ascii="宋体" w:hAnsi="宋体" w:cs="宋体"/>
          <w:b/>
          <w:color w:val="auto"/>
          <w:szCs w:val="21"/>
          <w:highlight w:val="none"/>
        </w:rPr>
      </w:pPr>
      <w:bookmarkStart w:id="113" w:name="_Toc356371458"/>
      <w:bookmarkStart w:id="114" w:name="_Toc322352985"/>
      <w:bookmarkStart w:id="115" w:name="_Toc354491899"/>
      <w:bookmarkStart w:id="116" w:name="_Toc391380602"/>
      <w:bookmarkStart w:id="117" w:name="_Toc28041"/>
      <w:r>
        <w:rPr>
          <w:rFonts w:hint="eastAsia" w:ascii="宋体" w:hAnsi="宋体" w:cs="宋体"/>
          <w:b/>
          <w:color w:val="auto"/>
          <w:szCs w:val="21"/>
          <w:highlight w:val="none"/>
        </w:rPr>
        <w:t>第六章  应提交的有关格式范例</w:t>
      </w:r>
      <w:bookmarkEnd w:id="113"/>
      <w:bookmarkEnd w:id="114"/>
      <w:bookmarkEnd w:id="115"/>
      <w:bookmarkEnd w:id="116"/>
      <w:bookmarkEnd w:id="117"/>
    </w:p>
    <w:p>
      <w:pPr>
        <w:snapToGrid w:val="0"/>
        <w:spacing w:line="312" w:lineRule="auto"/>
        <w:jc w:val="center"/>
        <w:outlineLvl w:val="0"/>
        <w:rPr>
          <w:rStyle w:val="97"/>
          <w:rFonts w:hint="eastAsia" w:eastAsia="宋体" w:cs="宋体"/>
          <w:color w:val="auto"/>
          <w:sz w:val="21"/>
          <w:szCs w:val="21"/>
          <w:highlight w:val="none"/>
        </w:rPr>
      </w:pPr>
    </w:p>
    <w:p>
      <w:pPr>
        <w:snapToGrid w:val="0"/>
        <w:spacing w:before="120" w:beforeLines="50" w:after="120" w:afterLines="50" w:line="312" w:lineRule="auto"/>
        <w:ind w:firstLine="420" w:firstLineChars="200"/>
        <w:jc w:val="center"/>
        <w:outlineLvl w:val="1"/>
        <w:rPr>
          <w:rFonts w:hint="eastAsia" w:ascii="宋体" w:hAnsi="宋体" w:cs="宋体"/>
          <w:bCs/>
          <w:color w:val="auto"/>
          <w:szCs w:val="21"/>
          <w:highlight w:val="none"/>
          <w:lang w:val="zh-CN"/>
        </w:rPr>
      </w:pPr>
      <w:bookmarkStart w:id="118" w:name="_Toc11162"/>
      <w:bookmarkStart w:id="119" w:name="_Toc26472"/>
      <w:bookmarkStart w:id="120" w:name="_Toc391380603"/>
      <w:bookmarkStart w:id="121" w:name="_Toc9049"/>
      <w:bookmarkStart w:id="122" w:name="_Toc2286"/>
      <w:r>
        <w:rPr>
          <w:rFonts w:hint="eastAsia" w:ascii="宋体" w:hAnsi="宋体" w:cs="宋体"/>
          <w:bCs/>
          <w:color w:val="auto"/>
          <w:szCs w:val="21"/>
          <w:highlight w:val="none"/>
          <w:lang w:val="zh-CN"/>
        </w:rPr>
        <w:t>一、 磋商响应文件封面</w:t>
      </w:r>
      <w:bookmarkEnd w:id="118"/>
      <w:bookmarkEnd w:id="119"/>
      <w:bookmarkEnd w:id="120"/>
      <w:bookmarkEnd w:id="121"/>
      <w:bookmarkEnd w:id="122"/>
    </w:p>
    <w:p>
      <w:pPr>
        <w:spacing w:line="312" w:lineRule="auto"/>
        <w:ind w:left="1800" w:leftChars="857"/>
        <w:jc w:val="right"/>
        <w:rPr>
          <w:rFonts w:hint="eastAsia" w:ascii="宋体" w:hAnsi="宋体" w:cs="宋体"/>
          <w:color w:val="auto"/>
          <w:sz w:val="24"/>
          <w:szCs w:val="24"/>
          <w:highlight w:val="none"/>
        </w:rPr>
      </w:pPr>
    </w:p>
    <w:p>
      <w:pPr>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spacing w:line="312" w:lineRule="auto"/>
        <w:jc w:val="right"/>
        <w:rPr>
          <w:rFonts w:hint="eastAsia" w:ascii="宋体" w:hAnsi="宋体" w:cs="宋体"/>
          <w:color w:val="auto"/>
          <w:sz w:val="24"/>
          <w:szCs w:val="24"/>
          <w:highlight w:val="none"/>
        </w:rPr>
      </w:pPr>
      <w:r>
        <w:rPr>
          <w:rFonts w:hint="eastAsia" w:ascii="宋体" w:hAnsi="宋体" w:cs="宋体"/>
          <w:color w:val="auto"/>
          <w:sz w:val="24"/>
          <w:szCs w:val="24"/>
          <w:highlight w:val="none"/>
        </w:rPr>
        <w:t>正本（副本）</w:t>
      </w:r>
    </w:p>
    <w:p>
      <w:pPr>
        <w:spacing w:line="312" w:lineRule="auto"/>
        <w:rPr>
          <w:rFonts w:hint="eastAsia" w:ascii="宋体" w:hAnsi="宋体" w:cs="宋体"/>
          <w:color w:val="auto"/>
          <w:sz w:val="24"/>
          <w:szCs w:val="24"/>
          <w:highlight w:val="none"/>
        </w:rPr>
      </w:pPr>
    </w:p>
    <w:p>
      <w:pPr>
        <w:spacing w:line="312" w:lineRule="auto"/>
        <w:rPr>
          <w:rFonts w:hint="eastAsia" w:ascii="宋体" w:hAnsi="宋体" w:cs="宋体"/>
          <w:color w:val="auto"/>
          <w:sz w:val="24"/>
          <w:szCs w:val="24"/>
          <w:highlight w:val="none"/>
        </w:rPr>
      </w:pPr>
    </w:p>
    <w:p>
      <w:pPr>
        <w:spacing w:line="312" w:lineRule="auto"/>
        <w:rPr>
          <w:rFonts w:hint="eastAsia" w:ascii="宋体" w:hAnsi="宋体" w:cs="宋体"/>
          <w:color w:val="auto"/>
          <w:sz w:val="24"/>
          <w:szCs w:val="24"/>
          <w:highlight w:val="none"/>
        </w:rPr>
      </w:pPr>
    </w:p>
    <w:p>
      <w:pPr>
        <w:spacing w:line="312" w:lineRule="auto"/>
        <w:rPr>
          <w:rFonts w:hint="eastAsia" w:ascii="宋体" w:hAnsi="宋体" w:cs="宋体"/>
          <w:color w:val="auto"/>
          <w:sz w:val="24"/>
          <w:szCs w:val="24"/>
          <w:highlight w:val="none"/>
        </w:rPr>
      </w:pPr>
    </w:p>
    <w:p>
      <w:pPr>
        <w:spacing w:line="312" w:lineRule="auto"/>
        <w:rPr>
          <w:rFonts w:hint="eastAsia" w:ascii="宋体" w:hAnsi="宋体" w:cs="宋体"/>
          <w:color w:val="auto"/>
          <w:sz w:val="24"/>
          <w:szCs w:val="24"/>
          <w:highlight w:val="none"/>
        </w:rPr>
      </w:pPr>
    </w:p>
    <w:p>
      <w:pPr>
        <w:snapToGrid w:val="0"/>
        <w:spacing w:line="312" w:lineRule="auto"/>
        <w:jc w:val="center"/>
        <w:rPr>
          <w:rFonts w:hint="eastAsia" w:ascii="宋体" w:hAnsi="宋体" w:cs="宋体"/>
          <w:color w:val="auto"/>
          <w:sz w:val="56"/>
          <w:szCs w:val="56"/>
          <w:highlight w:val="none"/>
        </w:rPr>
      </w:pPr>
      <w:r>
        <w:rPr>
          <w:rFonts w:hint="eastAsia" w:ascii="宋体" w:hAnsi="宋体" w:cs="宋体"/>
          <w:color w:val="auto"/>
          <w:sz w:val="56"/>
          <w:szCs w:val="56"/>
          <w:highlight w:val="none"/>
        </w:rPr>
        <w:t>资信技术文件（报价文件）</w:t>
      </w:r>
    </w:p>
    <w:p>
      <w:pPr>
        <w:snapToGrid w:val="0"/>
        <w:spacing w:line="312" w:lineRule="auto"/>
        <w:ind w:firstLine="1675" w:firstLineChars="698"/>
        <w:rPr>
          <w:rFonts w:hint="eastAsia" w:ascii="宋体" w:hAnsi="宋体" w:cs="宋体"/>
          <w:color w:val="auto"/>
          <w:sz w:val="24"/>
          <w:szCs w:val="24"/>
          <w:highlight w:val="none"/>
        </w:rPr>
      </w:pPr>
    </w:p>
    <w:p>
      <w:pPr>
        <w:snapToGrid w:val="0"/>
        <w:spacing w:line="312" w:lineRule="auto"/>
        <w:ind w:firstLine="1675" w:firstLineChars="698"/>
        <w:rPr>
          <w:rFonts w:hint="eastAsia" w:ascii="宋体" w:hAnsi="宋体" w:cs="宋体"/>
          <w:color w:val="auto"/>
          <w:sz w:val="24"/>
          <w:szCs w:val="24"/>
          <w:highlight w:val="none"/>
        </w:rPr>
      </w:pPr>
    </w:p>
    <w:p>
      <w:pPr>
        <w:pStyle w:val="2"/>
        <w:spacing w:line="312" w:lineRule="auto"/>
        <w:rPr>
          <w:rFonts w:hint="eastAsia" w:ascii="宋体" w:hAnsi="宋体" w:eastAsia="宋体" w:cs="宋体"/>
          <w:color w:val="auto"/>
          <w:highlight w:val="none"/>
        </w:rPr>
      </w:pPr>
    </w:p>
    <w:p>
      <w:pPr>
        <w:snapToGrid w:val="0"/>
        <w:spacing w:line="312" w:lineRule="auto"/>
        <w:ind w:firstLine="1682" w:firstLineChars="698"/>
        <w:rPr>
          <w:rFonts w:hint="eastAsia" w:ascii="宋体" w:hAnsi="宋体" w:cs="宋体"/>
          <w:b/>
          <w:color w:val="auto"/>
          <w:sz w:val="24"/>
          <w:szCs w:val="24"/>
          <w:highlight w:val="none"/>
        </w:rPr>
      </w:pPr>
    </w:p>
    <w:p>
      <w:pPr>
        <w:snapToGrid w:val="0"/>
        <w:spacing w:line="312" w:lineRule="auto"/>
        <w:ind w:firstLine="2214" w:firstLineChars="791"/>
        <w:rPr>
          <w:rFonts w:hint="eastAsia" w:ascii="宋体" w:hAnsi="宋体" w:cs="宋体"/>
          <w:color w:val="auto"/>
          <w:sz w:val="28"/>
          <w:szCs w:val="28"/>
          <w:highlight w:val="none"/>
          <w:u w:val="single"/>
        </w:rPr>
      </w:pPr>
      <w:bookmarkStart w:id="123" w:name="_Toc357410802"/>
      <w:r>
        <w:rPr>
          <w:rFonts w:hint="eastAsia" w:ascii="宋体" w:hAnsi="宋体" w:cs="宋体"/>
          <w:color w:val="auto"/>
          <w:sz w:val="28"/>
          <w:szCs w:val="28"/>
          <w:highlight w:val="none"/>
        </w:rPr>
        <w:t>项目名称：</w:t>
      </w:r>
      <w:bookmarkEnd w:id="123"/>
      <w:r>
        <w:rPr>
          <w:rFonts w:hint="eastAsia" w:ascii="宋体" w:hAnsi="宋体" w:cs="宋体"/>
          <w:color w:val="auto"/>
          <w:sz w:val="28"/>
          <w:szCs w:val="28"/>
          <w:highlight w:val="none"/>
          <w:u w:val="single"/>
        </w:rPr>
        <w:t xml:space="preserve">                    </w:t>
      </w:r>
    </w:p>
    <w:p>
      <w:pPr>
        <w:snapToGrid w:val="0"/>
        <w:spacing w:line="312" w:lineRule="auto"/>
        <w:ind w:firstLine="2214" w:firstLineChars="791"/>
        <w:rPr>
          <w:rFonts w:hint="eastAsia" w:ascii="宋体" w:hAnsi="宋体" w:cs="宋体"/>
          <w:color w:val="auto"/>
          <w:sz w:val="28"/>
          <w:szCs w:val="28"/>
          <w:highlight w:val="none"/>
          <w:u w:val="single"/>
        </w:rPr>
      </w:pPr>
      <w:bookmarkStart w:id="124" w:name="_Toc357410803"/>
      <w:r>
        <w:rPr>
          <w:rFonts w:hint="eastAsia" w:ascii="宋体" w:hAnsi="宋体" w:cs="宋体"/>
          <w:color w:val="auto"/>
          <w:sz w:val="28"/>
          <w:szCs w:val="28"/>
          <w:highlight w:val="none"/>
        </w:rPr>
        <w:t>项目编号：</w:t>
      </w:r>
      <w:bookmarkEnd w:id="124"/>
      <w:r>
        <w:rPr>
          <w:rFonts w:hint="eastAsia" w:ascii="宋体" w:hAnsi="宋体" w:cs="宋体"/>
          <w:color w:val="auto"/>
          <w:sz w:val="28"/>
          <w:szCs w:val="28"/>
          <w:highlight w:val="none"/>
          <w:u w:val="single"/>
        </w:rPr>
        <w:t xml:space="preserve">                    </w:t>
      </w:r>
    </w:p>
    <w:p>
      <w:pPr>
        <w:snapToGrid w:val="0"/>
        <w:spacing w:line="312" w:lineRule="auto"/>
        <w:ind w:firstLine="2214" w:firstLineChars="791"/>
        <w:rPr>
          <w:rFonts w:hint="eastAsia" w:ascii="宋体" w:hAnsi="宋体" w:cs="宋体"/>
          <w:color w:val="auto"/>
          <w:sz w:val="28"/>
          <w:szCs w:val="28"/>
          <w:highlight w:val="none"/>
        </w:rPr>
      </w:pPr>
      <w:bookmarkStart w:id="125" w:name="_Toc357410804"/>
      <w:r>
        <w:rPr>
          <w:rFonts w:hint="eastAsia" w:ascii="宋体" w:hAnsi="宋体" w:cs="宋体"/>
          <w:color w:val="auto"/>
          <w:sz w:val="28"/>
          <w:szCs w:val="28"/>
          <w:highlight w:val="none"/>
        </w:rPr>
        <w:t>投 标 人：</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（盖单位公章）</w:t>
      </w:r>
      <w:bookmarkEnd w:id="125"/>
    </w:p>
    <w:p>
      <w:pPr>
        <w:snapToGrid w:val="0"/>
        <w:spacing w:line="312" w:lineRule="auto"/>
        <w:ind w:firstLine="2214" w:firstLineChars="791"/>
        <w:rPr>
          <w:rFonts w:hint="eastAsia" w:ascii="宋体" w:hAnsi="宋体" w:cs="宋体"/>
          <w:color w:val="auto"/>
          <w:sz w:val="22"/>
          <w:szCs w:val="22"/>
          <w:highlight w:val="none"/>
        </w:rPr>
      </w:pPr>
      <w:bookmarkStart w:id="126" w:name="_Toc357410805"/>
      <w:r>
        <w:rPr>
          <w:rFonts w:hint="eastAsia" w:ascii="宋体" w:hAnsi="宋体" w:cs="宋体"/>
          <w:color w:val="auto"/>
          <w:sz w:val="28"/>
          <w:szCs w:val="28"/>
          <w:highlight w:val="none"/>
        </w:rPr>
        <w:t>日    期：</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 xml:space="preserve">月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bookmarkEnd w:id="126"/>
      <w:r>
        <w:rPr>
          <w:rFonts w:hint="eastAsia" w:ascii="宋体" w:hAnsi="宋体" w:cs="宋体"/>
          <w:color w:val="auto"/>
          <w:sz w:val="22"/>
          <w:szCs w:val="22"/>
          <w:highlight w:val="none"/>
        </w:rPr>
        <w:t xml:space="preserve">        </w:t>
      </w:r>
    </w:p>
    <w:p>
      <w:pPr>
        <w:snapToGrid w:val="0"/>
        <w:spacing w:line="312" w:lineRule="auto"/>
        <w:rPr>
          <w:rFonts w:hint="eastAsia" w:ascii="宋体" w:hAnsi="宋体" w:cs="宋体"/>
          <w:color w:val="auto"/>
          <w:szCs w:val="21"/>
          <w:highlight w:val="none"/>
        </w:rPr>
      </w:pPr>
    </w:p>
    <w:p>
      <w:pPr>
        <w:snapToGrid w:val="0"/>
        <w:spacing w:line="312" w:lineRule="auto"/>
        <w:rPr>
          <w:rFonts w:hint="eastAsia" w:ascii="宋体" w:hAnsi="宋体" w:cs="宋体"/>
          <w:color w:val="auto"/>
          <w:szCs w:val="21"/>
          <w:highlight w:val="none"/>
        </w:rPr>
      </w:pPr>
    </w:p>
    <w:p>
      <w:pPr>
        <w:spacing w:line="312" w:lineRule="auto"/>
        <w:rPr>
          <w:rStyle w:val="97"/>
          <w:rFonts w:hint="eastAsia" w:eastAsia="宋体" w:cs="宋体"/>
          <w:color w:val="auto"/>
          <w:sz w:val="21"/>
          <w:szCs w:val="21"/>
          <w:highlight w:val="none"/>
        </w:rPr>
      </w:pPr>
    </w:p>
    <w:p>
      <w:pPr>
        <w:spacing w:line="312" w:lineRule="auto"/>
        <w:rPr>
          <w:rFonts w:hint="eastAsia" w:ascii="宋体" w:hAnsi="宋体" w:cs="宋体"/>
          <w:b/>
          <w:color w:val="auto"/>
          <w:szCs w:val="21"/>
          <w:highlight w:val="none"/>
        </w:rPr>
      </w:pPr>
    </w:p>
    <w:p>
      <w:pPr>
        <w:spacing w:line="312" w:lineRule="auto"/>
        <w:jc w:val="center"/>
        <w:rPr>
          <w:rFonts w:hint="eastAsia" w:ascii="宋体" w:hAnsi="宋体" w:cs="宋体"/>
          <w:b/>
          <w:color w:val="auto"/>
          <w:szCs w:val="21"/>
          <w:highlight w:val="none"/>
        </w:rPr>
      </w:pPr>
    </w:p>
    <w:p>
      <w:pPr>
        <w:snapToGrid w:val="0"/>
        <w:spacing w:line="312" w:lineRule="auto"/>
        <w:outlineLvl w:val="1"/>
        <w:rPr>
          <w:rStyle w:val="97"/>
          <w:rFonts w:hint="eastAsia" w:eastAsia="宋体" w:cs="宋体"/>
          <w:color w:val="auto"/>
          <w:sz w:val="21"/>
          <w:szCs w:val="21"/>
          <w:highlight w:val="none"/>
        </w:rPr>
      </w:pPr>
    </w:p>
    <w:p>
      <w:pPr>
        <w:autoSpaceDE w:val="0"/>
        <w:autoSpaceDN w:val="0"/>
        <w:adjustRightInd w:val="0"/>
        <w:spacing w:line="312" w:lineRule="auto"/>
        <w:rPr>
          <w:rFonts w:hint="eastAsia" w:ascii="宋体" w:hAnsi="宋体" w:cs="宋体"/>
          <w:bCs/>
          <w:color w:val="auto"/>
          <w:szCs w:val="21"/>
          <w:highlight w:val="none"/>
        </w:rPr>
      </w:pPr>
    </w:p>
    <w:p>
      <w:pPr>
        <w:autoSpaceDE w:val="0"/>
        <w:autoSpaceDN w:val="0"/>
        <w:adjustRightInd w:val="0"/>
        <w:spacing w:line="312" w:lineRule="auto"/>
        <w:rPr>
          <w:rFonts w:hint="eastAsia" w:ascii="宋体" w:hAnsi="宋体" w:cs="宋体"/>
          <w:bCs/>
          <w:color w:val="auto"/>
          <w:szCs w:val="21"/>
          <w:highlight w:val="none"/>
        </w:rPr>
      </w:pPr>
    </w:p>
    <w:p>
      <w:pPr>
        <w:pStyle w:val="2"/>
        <w:spacing w:line="312" w:lineRule="auto"/>
        <w:rPr>
          <w:rFonts w:hint="eastAsia" w:ascii="宋体" w:hAnsi="宋体" w:eastAsia="宋体" w:cs="宋体"/>
          <w:bCs w:val="0"/>
          <w:color w:val="auto"/>
          <w:sz w:val="21"/>
          <w:szCs w:val="21"/>
          <w:highlight w:val="none"/>
        </w:rPr>
      </w:pPr>
    </w:p>
    <w:p>
      <w:pPr>
        <w:pStyle w:val="2"/>
        <w:spacing w:line="312" w:lineRule="auto"/>
        <w:rPr>
          <w:rFonts w:hint="eastAsia" w:ascii="宋体" w:hAnsi="宋体" w:eastAsia="宋体" w:cs="宋体"/>
          <w:bCs w:val="0"/>
          <w:color w:val="auto"/>
          <w:sz w:val="21"/>
          <w:szCs w:val="21"/>
          <w:highlight w:val="none"/>
        </w:rPr>
      </w:pPr>
    </w:p>
    <w:p>
      <w:pPr>
        <w:pStyle w:val="2"/>
        <w:spacing w:line="312" w:lineRule="auto"/>
        <w:rPr>
          <w:rFonts w:hint="eastAsia" w:ascii="宋体" w:hAnsi="宋体" w:eastAsia="宋体" w:cs="宋体"/>
          <w:bCs w:val="0"/>
          <w:color w:val="auto"/>
          <w:sz w:val="21"/>
          <w:szCs w:val="21"/>
          <w:highlight w:val="none"/>
        </w:rPr>
      </w:pPr>
    </w:p>
    <w:p>
      <w:pPr>
        <w:spacing w:line="312" w:lineRule="auto"/>
        <w:jc w:val="center"/>
        <w:rPr>
          <w:rFonts w:hint="eastAsia" w:ascii="宋体" w:hAnsi="宋体" w:cs="宋体"/>
          <w:bCs/>
          <w:color w:val="auto"/>
          <w:szCs w:val="21"/>
          <w:highlight w:val="none"/>
        </w:rPr>
      </w:pPr>
    </w:p>
    <w:p>
      <w:pPr>
        <w:spacing w:line="312" w:lineRule="auto"/>
        <w:jc w:val="center"/>
        <w:rPr>
          <w:rFonts w:hint="eastAsia" w:ascii="宋体" w:hAnsi="宋体" w:cs="宋体"/>
          <w:bCs/>
          <w:color w:val="auto"/>
          <w:szCs w:val="21"/>
          <w:highlight w:val="none"/>
        </w:rPr>
      </w:pPr>
    </w:p>
    <w:p>
      <w:pPr>
        <w:spacing w:line="312" w:lineRule="auto"/>
        <w:jc w:val="center"/>
        <w:rPr>
          <w:rFonts w:hint="eastAsia" w:ascii="宋体" w:hAnsi="宋体" w:cs="宋体"/>
          <w:color w:val="auto"/>
          <w:szCs w:val="21"/>
          <w:highlight w:val="none"/>
        </w:rPr>
      </w:pPr>
      <w:r>
        <w:rPr>
          <w:rFonts w:hint="eastAsia" w:ascii="宋体" w:hAnsi="宋体" w:cs="宋体"/>
          <w:bCs/>
          <w:color w:val="auto"/>
          <w:szCs w:val="21"/>
          <w:highlight w:val="none"/>
        </w:rPr>
        <w:t>1  法定代表人授权书</w:t>
      </w:r>
    </w:p>
    <w:p>
      <w:pPr>
        <w:spacing w:line="312" w:lineRule="auto"/>
        <w:rPr>
          <w:rFonts w:hint="eastAsia" w:ascii="宋体" w:hAnsi="宋体" w:cs="宋体"/>
          <w:color w:val="auto"/>
          <w:szCs w:val="21"/>
          <w:highlight w:val="none"/>
        </w:rPr>
      </w:pPr>
    </w:p>
    <w:p>
      <w:pPr>
        <w:spacing w:line="312" w:lineRule="auto"/>
        <w:rPr>
          <w:rFonts w:hint="eastAsia" w:ascii="宋体" w:hAnsi="宋体" w:cs="宋体"/>
          <w:color w:val="auto"/>
          <w:szCs w:val="21"/>
          <w:highlight w:val="none"/>
        </w:rPr>
      </w:pPr>
      <w:r>
        <w:rPr>
          <w:rFonts w:hint="eastAsia" w:ascii="宋体" w:hAnsi="宋体" w:cs="宋体"/>
          <w:color w:val="auto"/>
          <w:szCs w:val="21"/>
          <w:highlight w:val="none"/>
          <w:u w:val="single"/>
        </w:rPr>
        <w:t xml:space="preserve"> （采购人） </w:t>
      </w:r>
      <w:r>
        <w:rPr>
          <w:rFonts w:hint="eastAsia" w:ascii="宋体" w:hAnsi="宋体" w:cs="宋体"/>
          <w:color w:val="auto"/>
          <w:szCs w:val="21"/>
          <w:highlight w:val="none"/>
        </w:rPr>
        <w:t>：</w:t>
      </w:r>
    </w:p>
    <w:p>
      <w:pPr>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（投标人全称）法定代表人授权</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（全权代表姓名）为全权代表，参加贵方组织的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），并全权处理采购活动中的一切事宜。</w:t>
      </w:r>
    </w:p>
    <w:p>
      <w:pPr>
        <w:spacing w:before="120" w:beforeLines="50" w:after="120" w:afterLines="50" w:line="312" w:lineRule="auto"/>
        <w:ind w:firstLine="4418" w:firstLineChars="2104"/>
        <w:rPr>
          <w:rFonts w:hint="eastAsia" w:ascii="宋体" w:hAnsi="宋体" w:cs="宋体"/>
          <w:color w:val="auto"/>
          <w:szCs w:val="21"/>
          <w:highlight w:val="none"/>
        </w:rPr>
      </w:pPr>
    </w:p>
    <w:p>
      <w:pPr>
        <w:wordWrap w:val="0"/>
        <w:snapToGrid w:val="0"/>
        <w:spacing w:line="480" w:lineRule="auto"/>
        <w:jc w:val="right"/>
        <w:rPr>
          <w:rFonts w:hint="eastAsia" w:ascii="宋体" w:hAnsi="宋体" w:eastAsia="宋体" w:cs="宋体"/>
          <w:szCs w:val="21"/>
          <w:highlight w:val="none"/>
        </w:rPr>
      </w:pPr>
      <w:r>
        <w:rPr>
          <w:rFonts w:hint="eastAsia" w:ascii="宋体" w:hAnsi="宋体" w:eastAsia="宋体" w:cs="宋体"/>
          <w:szCs w:val="21"/>
          <w:highlight w:val="none"/>
        </w:rPr>
        <w:t xml:space="preserve">投标人（盖章）：                      </w:t>
      </w:r>
    </w:p>
    <w:p>
      <w:pPr>
        <w:wordWrap w:val="0"/>
        <w:snapToGrid w:val="0"/>
        <w:spacing w:line="480" w:lineRule="auto"/>
        <w:jc w:val="right"/>
        <w:rPr>
          <w:rFonts w:hint="eastAsia" w:ascii="宋体" w:hAnsi="宋体" w:eastAsia="宋体" w:cs="宋体"/>
          <w:szCs w:val="21"/>
          <w:highlight w:val="none"/>
        </w:rPr>
      </w:pPr>
      <w:r>
        <w:rPr>
          <w:rFonts w:hint="eastAsia" w:ascii="宋体" w:hAnsi="宋体" w:eastAsia="宋体" w:cs="宋体"/>
          <w:szCs w:val="21"/>
          <w:highlight w:val="none"/>
        </w:rPr>
        <w:t>法定代表人或授权代表人（签字</w:t>
      </w:r>
      <w:r>
        <w:rPr>
          <w:rFonts w:hint="eastAsia" w:ascii="宋体" w:hAnsi="宋体" w:eastAsia="宋体" w:cs="宋体"/>
          <w:szCs w:val="21"/>
          <w:highlight w:val="none"/>
          <w:lang w:val="en-US" w:eastAsia="zh-CN"/>
        </w:rPr>
        <w:t>或盖章</w:t>
      </w:r>
      <w:r>
        <w:rPr>
          <w:rFonts w:hint="eastAsia" w:ascii="宋体" w:hAnsi="宋体" w:eastAsia="宋体" w:cs="宋体"/>
          <w:szCs w:val="21"/>
          <w:highlight w:val="none"/>
        </w:rPr>
        <w:t xml:space="preserve">）：                      </w:t>
      </w:r>
    </w:p>
    <w:p>
      <w:pPr>
        <w:spacing w:line="312" w:lineRule="auto"/>
        <w:ind w:firstLine="6300" w:firstLineChars="3000"/>
        <w:rPr>
          <w:rFonts w:hint="eastAsia" w:ascii="宋体" w:hAnsi="宋体" w:cs="宋体"/>
          <w:color w:val="auto"/>
          <w:szCs w:val="21"/>
          <w:highlight w:val="none"/>
        </w:rPr>
      </w:pPr>
      <w:r>
        <w:rPr>
          <w:rFonts w:hint="eastAsia" w:ascii="宋体" w:hAnsi="宋体" w:eastAsia="宋体" w:cs="宋体"/>
          <w:b w:val="0"/>
          <w:bCs w:val="0"/>
          <w:spacing w:val="0"/>
          <w:kern w:val="2"/>
          <w:sz w:val="21"/>
          <w:szCs w:val="21"/>
          <w:highlight w:val="none"/>
          <w:lang w:val="en-US" w:eastAsia="zh-CN" w:bidi="ar-SA"/>
        </w:rPr>
        <w:t>日  期：</w:t>
      </w:r>
    </w:p>
    <w:p>
      <w:pPr>
        <w:spacing w:line="312" w:lineRule="auto"/>
        <w:rPr>
          <w:rFonts w:hint="eastAsia" w:ascii="宋体" w:hAnsi="宋体" w:cs="宋体"/>
          <w:color w:val="auto"/>
          <w:szCs w:val="21"/>
          <w:highlight w:val="none"/>
        </w:rPr>
      </w:pPr>
    </w:p>
    <w:p>
      <w:pPr>
        <w:spacing w:line="312" w:lineRule="auto"/>
        <w:rPr>
          <w:rFonts w:hint="eastAsia" w:ascii="宋体" w:hAnsi="宋体" w:cs="宋体"/>
          <w:color w:val="auto"/>
          <w:szCs w:val="21"/>
          <w:highlight w:val="none"/>
        </w:rPr>
      </w:pPr>
      <w:r>
        <w:rPr>
          <w:rFonts w:hint="eastAsia" w:ascii="宋体" w:hAnsi="宋体" w:cs="宋体"/>
          <w:color w:val="auto"/>
          <w:szCs w:val="21"/>
          <w:highlight w:val="none"/>
        </w:rPr>
        <w:t>附：</w:t>
      </w:r>
    </w:p>
    <w:p>
      <w:pPr>
        <w:spacing w:line="312" w:lineRule="auto"/>
        <w:rPr>
          <w:rFonts w:hint="eastAsia" w:ascii="宋体" w:hAnsi="宋体" w:cs="宋体"/>
          <w:color w:val="auto"/>
          <w:szCs w:val="21"/>
          <w:highlight w:val="none"/>
        </w:rPr>
      </w:pPr>
      <w:r>
        <w:rPr>
          <w:rFonts w:hint="eastAsia" w:ascii="宋体" w:hAnsi="宋体" w:cs="宋体"/>
          <w:color w:val="auto"/>
          <w:szCs w:val="21"/>
          <w:highlight w:val="none"/>
        </w:rPr>
        <w:t>授权代表姓名：           性别：</w:t>
      </w:r>
    </w:p>
    <w:p>
      <w:pPr>
        <w:spacing w:line="312" w:lineRule="auto"/>
        <w:rPr>
          <w:rFonts w:hint="eastAsia" w:ascii="宋体" w:hAnsi="宋体" w:cs="宋体"/>
          <w:color w:val="auto"/>
          <w:szCs w:val="21"/>
          <w:highlight w:val="none"/>
        </w:rPr>
      </w:pPr>
      <w:r>
        <w:rPr>
          <w:rFonts w:hint="eastAsia" w:ascii="宋体" w:hAnsi="宋体" w:cs="宋体"/>
          <w:color w:val="auto"/>
          <w:szCs w:val="21"/>
          <w:highlight w:val="none"/>
        </w:rPr>
        <w:t>职务：                   职称：</w:t>
      </w:r>
    </w:p>
    <w:p>
      <w:pPr>
        <w:spacing w:line="312" w:lineRule="auto"/>
        <w:rPr>
          <w:rFonts w:hint="eastAsia" w:ascii="宋体" w:hAnsi="宋体" w:cs="宋体"/>
          <w:color w:val="auto"/>
          <w:szCs w:val="21"/>
          <w:highlight w:val="none"/>
        </w:rPr>
      </w:pPr>
      <w:r>
        <w:rPr>
          <w:rFonts w:hint="eastAsia" w:ascii="宋体" w:hAnsi="宋体" w:cs="宋体"/>
          <w:color w:val="auto"/>
          <w:szCs w:val="21"/>
          <w:highlight w:val="none"/>
        </w:rPr>
        <w:t>详细通讯地址：</w:t>
      </w:r>
    </w:p>
    <w:p>
      <w:pPr>
        <w:spacing w:line="312" w:lineRule="auto"/>
        <w:rPr>
          <w:rFonts w:hint="eastAsia" w:ascii="宋体" w:hAnsi="宋体" w:cs="宋体"/>
          <w:color w:val="auto"/>
          <w:szCs w:val="21"/>
          <w:highlight w:val="none"/>
        </w:rPr>
      </w:pPr>
      <w:r>
        <w:rPr>
          <w:rFonts w:hint="eastAsia" w:ascii="宋体" w:hAnsi="宋体" w:cs="宋体"/>
          <w:color w:val="auto"/>
          <w:szCs w:val="21"/>
          <w:highlight w:val="none"/>
        </w:rPr>
        <w:t>电话：                   传真：</w:t>
      </w:r>
    </w:p>
    <w:p>
      <w:pPr>
        <w:spacing w:line="312" w:lineRule="auto"/>
        <w:rPr>
          <w:rFonts w:hint="eastAsia" w:ascii="宋体" w:hAnsi="宋体" w:cs="宋体"/>
          <w:color w:val="auto"/>
          <w:szCs w:val="21"/>
          <w:highlight w:val="none"/>
        </w:rPr>
      </w:pPr>
      <w:r>
        <w:rPr>
          <w:rFonts w:hint="eastAsia" w:ascii="宋体" w:hAnsi="宋体" w:cs="宋体"/>
          <w:color w:val="auto"/>
          <w:szCs w:val="21"/>
          <w:highlight w:val="none"/>
        </w:rPr>
        <w:t>移动电话：</w:t>
      </w:r>
    </w:p>
    <w:p>
      <w:pPr>
        <w:spacing w:line="312" w:lineRule="auto"/>
        <w:rPr>
          <w:rFonts w:hint="eastAsia" w:ascii="宋体" w:hAnsi="宋体" w:cs="宋体"/>
          <w:color w:val="auto"/>
          <w:szCs w:val="21"/>
          <w:highlight w:val="none"/>
        </w:rPr>
      </w:pPr>
      <w:r>
        <w:rPr>
          <w:rFonts w:hint="eastAsia" w:ascii="宋体" w:hAnsi="宋体" w:cs="宋体"/>
          <w:color w:val="auto"/>
          <w:szCs w:val="21"/>
          <w:highlight w:val="none"/>
        </w:rPr>
        <w:t>邮政编码：</w:t>
      </w:r>
    </w:p>
    <w:p>
      <w:pPr>
        <w:spacing w:line="312" w:lineRule="auto"/>
        <w:rPr>
          <w:rFonts w:hint="eastAsia" w:ascii="宋体" w:hAnsi="宋体" w:cs="宋体"/>
          <w:color w:val="auto"/>
          <w:szCs w:val="21"/>
          <w:highlight w:val="none"/>
        </w:rPr>
      </w:pPr>
    </w:p>
    <w:p>
      <w:pPr>
        <w:spacing w:line="312" w:lineRule="auto"/>
        <w:rPr>
          <w:rFonts w:hint="eastAsia" w:ascii="宋体" w:hAnsi="宋体" w:cs="宋体"/>
          <w:color w:val="auto"/>
          <w:szCs w:val="21"/>
          <w:highlight w:val="none"/>
        </w:rPr>
      </w:pPr>
      <w:bookmarkStart w:id="127" w:name="_Toc391380605"/>
      <w:bookmarkStart w:id="128" w:name="_Toc387928043"/>
    </w:p>
    <w:p>
      <w:pPr>
        <w:spacing w:line="312" w:lineRule="auto"/>
        <w:rPr>
          <w:rFonts w:hint="eastAsia" w:ascii="宋体" w:hAnsi="宋体" w:cs="宋体"/>
          <w:color w:val="auto"/>
          <w:szCs w:val="21"/>
          <w:highlight w:val="none"/>
        </w:rPr>
      </w:pPr>
    </w:p>
    <w:p>
      <w:pPr>
        <w:snapToGrid w:val="0"/>
        <w:spacing w:line="312" w:lineRule="auto"/>
        <w:jc w:val="center"/>
        <w:outlineLvl w:val="0"/>
        <w:rPr>
          <w:rFonts w:hint="eastAsia" w:ascii="宋体" w:hAnsi="宋体" w:eastAsia="宋体" w:cs="宋体"/>
          <w:bCs/>
          <w:szCs w:val="21"/>
          <w:highlight w:val="none"/>
        </w:rPr>
      </w:pPr>
      <w:r>
        <w:rPr>
          <w:rFonts w:hint="eastAsia" w:ascii="宋体" w:hAnsi="宋体" w:eastAsia="宋体" w:cs="宋体"/>
          <w:bCs/>
          <w:szCs w:val="21"/>
          <w:highlight w:val="none"/>
        </w:rPr>
        <w:t>法定代表人身份证明</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szCs w:val="21"/>
          <w:highlight w:val="none"/>
        </w:rPr>
      </w:pPr>
      <w:r>
        <w:rPr>
          <w:rFonts w:hint="eastAsia" w:ascii="宋体" w:hAnsi="宋体" w:eastAsia="宋体" w:cs="宋体"/>
          <w:szCs w:val="21"/>
          <w:highlight w:val="none"/>
        </w:rPr>
        <w:t>投 标 人：</w:t>
      </w:r>
      <w:r>
        <w:rPr>
          <w:rFonts w:hint="eastAsia" w:ascii="宋体" w:hAnsi="宋体" w:eastAsia="宋体" w:cs="宋体"/>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szCs w:val="21"/>
          <w:highlight w:val="none"/>
        </w:rPr>
      </w:pPr>
      <w:r>
        <w:rPr>
          <w:rFonts w:hint="eastAsia" w:ascii="宋体" w:hAnsi="宋体" w:eastAsia="宋体" w:cs="宋体"/>
          <w:szCs w:val="21"/>
          <w:highlight w:val="none"/>
        </w:rPr>
        <w:t>地    址：</w:t>
      </w:r>
      <w:r>
        <w:rPr>
          <w:rFonts w:hint="eastAsia" w:ascii="宋体" w:hAnsi="宋体" w:eastAsia="宋体" w:cs="宋体"/>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szCs w:val="21"/>
          <w:highlight w:val="none"/>
        </w:rPr>
      </w:pPr>
      <w:r>
        <w:rPr>
          <w:rFonts w:hint="eastAsia" w:ascii="宋体" w:hAnsi="宋体" w:eastAsia="宋体" w:cs="宋体"/>
          <w:szCs w:val="21"/>
          <w:highlight w:val="none"/>
        </w:rPr>
        <w:t>成立时间：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non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non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none"/>
        </w:rPr>
        <w:t xml:space="preserve"> </w:t>
      </w:r>
      <w:r>
        <w:rPr>
          <w:rFonts w:hint="eastAsia" w:ascii="宋体" w:hAnsi="宋体" w:eastAsia="宋体" w:cs="宋体"/>
          <w:szCs w:val="21"/>
          <w:highlight w:val="none"/>
        </w:rPr>
        <w:t>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szCs w:val="21"/>
          <w:highlight w:val="none"/>
        </w:rPr>
      </w:pPr>
      <w:r>
        <w:rPr>
          <w:rFonts w:hint="eastAsia" w:ascii="宋体" w:hAnsi="宋体" w:eastAsia="宋体" w:cs="宋体"/>
          <w:szCs w:val="21"/>
          <w:highlight w:val="none"/>
        </w:rPr>
        <w:t>姓    名：</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none"/>
        </w:rPr>
        <w:t xml:space="preserve"> </w:t>
      </w:r>
      <w:r>
        <w:rPr>
          <w:rFonts w:hint="eastAsia" w:ascii="宋体" w:hAnsi="宋体" w:eastAsia="宋体" w:cs="宋体"/>
          <w:szCs w:val="21"/>
          <w:highlight w:val="none"/>
        </w:rPr>
        <w:t>性     别：</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szCs w:val="21"/>
          <w:highlight w:val="none"/>
        </w:rPr>
      </w:pPr>
      <w:r>
        <w:rPr>
          <w:rFonts w:hint="eastAsia" w:ascii="宋体" w:hAnsi="宋体" w:eastAsia="宋体" w:cs="宋体"/>
          <w:szCs w:val="21"/>
          <w:highlight w:val="none"/>
        </w:rPr>
        <w:t>年    龄：</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none"/>
        </w:rPr>
        <w:t xml:space="preserve"> </w:t>
      </w:r>
      <w:r>
        <w:rPr>
          <w:rFonts w:hint="eastAsia" w:ascii="宋体" w:hAnsi="宋体" w:eastAsia="宋体" w:cs="宋体"/>
          <w:szCs w:val="21"/>
          <w:highlight w:val="none"/>
        </w:rPr>
        <w:t>职     务：</w:t>
      </w:r>
      <w:r>
        <w:rPr>
          <w:rFonts w:hint="eastAsia" w:ascii="宋体" w:hAnsi="宋体" w:eastAsia="宋体" w:cs="宋体"/>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szCs w:val="21"/>
          <w:highlight w:val="none"/>
        </w:rPr>
      </w:pPr>
      <w:r>
        <w:rPr>
          <w:rFonts w:hint="eastAsia" w:ascii="宋体" w:hAnsi="宋体" w:eastAsia="宋体" w:cs="宋体"/>
          <w:szCs w:val="21"/>
          <w:highlight w:val="none"/>
        </w:rPr>
        <w:t>系</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（投标人名称）的法定代表人。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20" w:firstLineChars="200"/>
        <w:jc w:val="both"/>
        <w:textAlignment w:val="auto"/>
        <w:outlineLvl w:val="9"/>
        <w:rPr>
          <w:rFonts w:hint="eastAsia" w:ascii="宋体" w:hAnsi="宋体" w:eastAsia="宋体" w:cs="宋体"/>
          <w:szCs w:val="21"/>
          <w:highlight w:val="none"/>
        </w:rPr>
      </w:pPr>
      <w:r>
        <w:rPr>
          <w:rFonts w:hint="eastAsia" w:ascii="宋体" w:hAnsi="宋体" w:eastAsia="宋体" w:cs="宋体"/>
          <w:szCs w:val="21"/>
          <w:highlight w:val="none"/>
        </w:rPr>
        <w:t>特此证明。</w:t>
      </w:r>
    </w:p>
    <w:p>
      <w:pPr>
        <w:spacing w:line="312" w:lineRule="auto"/>
        <w:rPr>
          <w:rFonts w:hint="eastAsia" w:ascii="宋体" w:hAnsi="宋体" w:eastAsia="宋体" w:cs="宋体"/>
          <w:szCs w:val="21"/>
          <w:highlight w:val="none"/>
        </w:rPr>
      </w:pPr>
    </w:p>
    <w:p>
      <w:pPr>
        <w:wordWrap/>
        <w:spacing w:line="480" w:lineRule="auto"/>
        <w:ind w:left="0" w:leftChars="0" w:firstLine="5040" w:firstLineChars="2400"/>
        <w:jc w:val="left"/>
        <w:rPr>
          <w:rFonts w:hint="eastAsia" w:ascii="宋体" w:hAnsi="宋体" w:eastAsia="宋体" w:cs="宋体"/>
          <w:szCs w:val="21"/>
          <w:highlight w:val="none"/>
        </w:rPr>
      </w:pPr>
      <w:r>
        <w:rPr>
          <w:rFonts w:hint="eastAsia" w:ascii="宋体" w:hAnsi="宋体" w:eastAsia="宋体" w:cs="宋体"/>
          <w:szCs w:val="21"/>
          <w:highlight w:val="none"/>
        </w:rPr>
        <w:t>投标人：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（加盖公章）</w:t>
      </w:r>
    </w:p>
    <w:p>
      <w:pPr>
        <w:wordWrap/>
        <w:spacing w:line="480" w:lineRule="auto"/>
        <w:ind w:left="0" w:leftChars="0" w:firstLine="5040" w:firstLineChars="2400"/>
        <w:jc w:val="left"/>
        <w:rPr>
          <w:rFonts w:hint="eastAsia" w:ascii="宋体" w:hAnsi="宋体" w:eastAsia="宋体" w:cs="宋体"/>
          <w:szCs w:val="21"/>
          <w:highlight w:val="none"/>
        </w:rPr>
      </w:pPr>
      <w:r>
        <w:rPr>
          <w:rFonts w:hint="eastAsia" w:ascii="宋体" w:hAnsi="宋体" w:eastAsia="宋体" w:cs="宋体"/>
          <w:szCs w:val="21"/>
          <w:highlight w:val="none"/>
        </w:rPr>
        <w:t>日  期：</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p>
      <w:pPr>
        <w:spacing w:line="312" w:lineRule="auto"/>
        <w:rPr>
          <w:rFonts w:hint="eastAsia" w:ascii="宋体" w:hAnsi="宋体" w:cs="宋体"/>
          <w:color w:val="auto"/>
          <w:szCs w:val="21"/>
          <w:highlight w:val="none"/>
        </w:rPr>
      </w:pPr>
    </w:p>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2.投标人单位情况表</w:t>
      </w:r>
    </w:p>
    <w:p>
      <w:pPr>
        <w:pStyle w:val="32"/>
        <w:snapToGrid w:val="0"/>
        <w:spacing w:line="312" w:lineRule="auto"/>
        <w:rPr>
          <w:rFonts w:hint="eastAsia" w:hAnsi="宋体" w:cs="宋体"/>
          <w:color w:val="auto"/>
          <w:szCs w:val="21"/>
          <w:highlight w:val="none"/>
        </w:rPr>
      </w:pPr>
    </w:p>
    <w:p>
      <w:pPr>
        <w:spacing w:before="120" w:beforeLines="50" w:after="120" w:afterLines="50" w:line="312" w:lineRule="auto"/>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s="宋体"/>
          <w:color w:val="auto"/>
          <w:szCs w:val="21"/>
          <w:highlight w:val="none"/>
        </w:rPr>
        <w:tab/>
      </w:r>
      <w:r>
        <w:rPr>
          <w:rFonts w:hint="eastAsia" w:ascii="宋体" w:hAnsi="宋体" w:cs="宋体"/>
          <w:color w:val="auto"/>
          <w:szCs w:val="21"/>
          <w:highlight w:val="none"/>
        </w:rPr>
        <w:tab/>
      </w:r>
      <w:r>
        <w:rPr>
          <w:rFonts w:hint="eastAsia" w:ascii="宋体" w:hAnsi="宋体" w:cs="宋体"/>
          <w:color w:val="auto"/>
          <w:szCs w:val="21"/>
          <w:highlight w:val="none"/>
        </w:rPr>
        <w:tab/>
      </w:r>
      <w:r>
        <w:rPr>
          <w:rFonts w:hint="eastAsia" w:ascii="宋体" w:hAnsi="宋体" w:cs="宋体"/>
          <w:color w:val="auto"/>
          <w:szCs w:val="21"/>
          <w:highlight w:val="none"/>
        </w:rPr>
        <w:tab/>
      </w:r>
      <w:r>
        <w:rPr>
          <w:rFonts w:hint="eastAsia" w:ascii="宋体" w:hAnsi="宋体" w:cs="宋体"/>
          <w:color w:val="auto"/>
          <w:szCs w:val="21"/>
          <w:highlight w:val="none"/>
        </w:rPr>
        <w:tab/>
      </w:r>
      <w:r>
        <w:rPr>
          <w:rFonts w:hint="eastAsia" w:ascii="宋体" w:hAnsi="宋体" w:cs="宋体"/>
          <w:color w:val="auto"/>
          <w:szCs w:val="21"/>
          <w:highlight w:val="none"/>
        </w:rPr>
        <w:t xml:space="preserve"> </w:t>
      </w:r>
      <w:r>
        <w:rPr>
          <w:rFonts w:hint="eastAsia" w:ascii="宋体" w:hAnsi="宋体" w:cs="宋体"/>
          <w:color w:val="auto"/>
          <w:szCs w:val="21"/>
          <w:highlight w:val="none"/>
        </w:rPr>
        <w:tab/>
      </w:r>
      <w:r>
        <w:rPr>
          <w:rFonts w:hint="eastAsia" w:ascii="宋体" w:hAnsi="宋体" w:cs="宋体"/>
          <w:color w:val="auto"/>
          <w:szCs w:val="21"/>
          <w:highlight w:val="none"/>
        </w:rPr>
        <w:tab/>
      </w:r>
      <w:r>
        <w:rPr>
          <w:rFonts w:hint="eastAsia" w:ascii="宋体" w:hAnsi="宋体" w:cs="宋体"/>
          <w:color w:val="auto"/>
          <w:szCs w:val="21"/>
          <w:highlight w:val="none"/>
        </w:rPr>
        <w:t xml:space="preserve">  填表日期：</w:t>
      </w:r>
    </w:p>
    <w:tbl>
      <w:tblPr>
        <w:tblStyle w:val="61"/>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562"/>
        <w:gridCol w:w="1014"/>
        <w:gridCol w:w="2418"/>
        <w:gridCol w:w="1434"/>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402" w:type="dxa"/>
            <w:gridSpan w:val="2"/>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单位名称</w:t>
            </w:r>
          </w:p>
        </w:tc>
        <w:tc>
          <w:tcPr>
            <w:tcW w:w="3432" w:type="dxa"/>
            <w:gridSpan w:val="2"/>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p>
        </w:tc>
        <w:tc>
          <w:tcPr>
            <w:tcW w:w="1434" w:type="dxa"/>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电    话</w:t>
            </w:r>
          </w:p>
        </w:tc>
        <w:tc>
          <w:tcPr>
            <w:tcW w:w="2695" w:type="dxa"/>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402" w:type="dxa"/>
            <w:gridSpan w:val="2"/>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地    址</w:t>
            </w:r>
          </w:p>
        </w:tc>
        <w:tc>
          <w:tcPr>
            <w:tcW w:w="3432" w:type="dxa"/>
            <w:gridSpan w:val="2"/>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p>
        </w:tc>
        <w:tc>
          <w:tcPr>
            <w:tcW w:w="1434" w:type="dxa"/>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传    真</w:t>
            </w:r>
          </w:p>
        </w:tc>
        <w:tc>
          <w:tcPr>
            <w:tcW w:w="2695" w:type="dxa"/>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402" w:type="dxa"/>
            <w:gridSpan w:val="2"/>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主管部门</w:t>
            </w:r>
          </w:p>
        </w:tc>
        <w:tc>
          <w:tcPr>
            <w:tcW w:w="3432" w:type="dxa"/>
            <w:gridSpan w:val="2"/>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p>
        </w:tc>
        <w:tc>
          <w:tcPr>
            <w:tcW w:w="1434" w:type="dxa"/>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企业性质</w:t>
            </w:r>
          </w:p>
        </w:tc>
        <w:tc>
          <w:tcPr>
            <w:tcW w:w="2695" w:type="dxa"/>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402" w:type="dxa"/>
            <w:gridSpan w:val="2"/>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企业法人</w:t>
            </w:r>
          </w:p>
        </w:tc>
        <w:tc>
          <w:tcPr>
            <w:tcW w:w="3432" w:type="dxa"/>
            <w:gridSpan w:val="2"/>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p>
        </w:tc>
        <w:tc>
          <w:tcPr>
            <w:tcW w:w="1434" w:type="dxa"/>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注册资金</w:t>
            </w:r>
          </w:p>
        </w:tc>
        <w:tc>
          <w:tcPr>
            <w:tcW w:w="2695" w:type="dxa"/>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402" w:type="dxa"/>
            <w:gridSpan w:val="2"/>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授权代表</w:t>
            </w:r>
          </w:p>
        </w:tc>
        <w:tc>
          <w:tcPr>
            <w:tcW w:w="3432" w:type="dxa"/>
            <w:gridSpan w:val="2"/>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p>
        </w:tc>
        <w:tc>
          <w:tcPr>
            <w:tcW w:w="1434" w:type="dxa"/>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职    务</w:t>
            </w:r>
          </w:p>
        </w:tc>
        <w:tc>
          <w:tcPr>
            <w:tcW w:w="2695" w:type="dxa"/>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40" w:type="dxa"/>
            <w:vMerge w:val="restart"/>
            <w:noWrap w:val="0"/>
            <w:tcMar>
              <w:left w:w="142" w:type="dxa"/>
              <w:right w:w="142" w:type="dxa"/>
            </w:tcMar>
            <w:textDirection w:val="tbRlV"/>
            <w:vAlign w:val="top"/>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单 位 概 况</w:t>
            </w:r>
          </w:p>
        </w:tc>
        <w:tc>
          <w:tcPr>
            <w:tcW w:w="1576" w:type="dxa"/>
            <w:gridSpan w:val="2"/>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流动资金</w:t>
            </w:r>
          </w:p>
        </w:tc>
        <w:tc>
          <w:tcPr>
            <w:tcW w:w="2418" w:type="dxa"/>
            <w:noWrap w:val="0"/>
            <w:tcMar>
              <w:left w:w="142" w:type="dxa"/>
              <w:right w:w="142" w:type="dxa"/>
            </w:tcMar>
            <w:vAlign w:val="center"/>
          </w:tcPr>
          <w:p>
            <w:pPr>
              <w:spacing w:before="120" w:beforeLines="50" w:after="120" w:afterLines="50" w:line="312" w:lineRule="auto"/>
              <w:jc w:val="right"/>
              <w:rPr>
                <w:rFonts w:hint="eastAsia" w:ascii="宋体" w:hAnsi="宋体" w:cs="宋体"/>
                <w:color w:val="auto"/>
                <w:szCs w:val="21"/>
                <w:highlight w:val="none"/>
              </w:rPr>
            </w:pPr>
            <w:r>
              <w:rPr>
                <w:rFonts w:hint="eastAsia" w:ascii="宋体" w:hAnsi="宋体" w:cs="宋体"/>
                <w:color w:val="auto"/>
                <w:szCs w:val="21"/>
                <w:highlight w:val="none"/>
              </w:rPr>
              <w:t>万元</w:t>
            </w:r>
          </w:p>
        </w:tc>
        <w:tc>
          <w:tcPr>
            <w:tcW w:w="1434" w:type="dxa"/>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营业面积</w:t>
            </w:r>
          </w:p>
        </w:tc>
        <w:tc>
          <w:tcPr>
            <w:tcW w:w="2695" w:type="dxa"/>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840" w:type="dxa"/>
            <w:vMerge w:val="continue"/>
            <w:noWrap w:val="0"/>
            <w:tcMar>
              <w:left w:w="142" w:type="dxa"/>
              <w:right w:w="142" w:type="dxa"/>
            </w:tcMar>
            <w:vAlign w:val="top"/>
          </w:tcPr>
          <w:p>
            <w:pPr>
              <w:spacing w:before="120" w:beforeLines="50" w:after="120" w:afterLines="50" w:line="312" w:lineRule="auto"/>
              <w:jc w:val="center"/>
              <w:rPr>
                <w:rFonts w:hint="eastAsia" w:ascii="宋体" w:hAnsi="宋体" w:cs="宋体"/>
                <w:color w:val="auto"/>
                <w:szCs w:val="21"/>
                <w:highlight w:val="none"/>
              </w:rPr>
            </w:pPr>
          </w:p>
        </w:tc>
        <w:tc>
          <w:tcPr>
            <w:tcW w:w="1576" w:type="dxa"/>
            <w:gridSpan w:val="2"/>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固定资金</w:t>
            </w:r>
          </w:p>
        </w:tc>
        <w:tc>
          <w:tcPr>
            <w:tcW w:w="2418" w:type="dxa"/>
            <w:noWrap w:val="0"/>
            <w:tcMar>
              <w:left w:w="142" w:type="dxa"/>
              <w:right w:w="142" w:type="dxa"/>
            </w:tcMar>
            <w:vAlign w:val="center"/>
          </w:tcPr>
          <w:p>
            <w:pPr>
              <w:spacing w:before="120" w:beforeLines="50" w:after="120" w:afterLines="50" w:line="312" w:lineRule="auto"/>
              <w:jc w:val="right"/>
              <w:rPr>
                <w:rFonts w:hint="eastAsia" w:ascii="宋体" w:hAnsi="宋体" w:cs="宋体"/>
                <w:color w:val="auto"/>
                <w:szCs w:val="21"/>
                <w:highlight w:val="none"/>
              </w:rPr>
            </w:pPr>
            <w:r>
              <w:rPr>
                <w:rFonts w:hint="eastAsia" w:ascii="宋体" w:hAnsi="宋体" w:cs="宋体"/>
                <w:color w:val="auto"/>
                <w:szCs w:val="21"/>
                <w:highlight w:val="none"/>
              </w:rPr>
              <w:t>万元</w:t>
            </w:r>
          </w:p>
        </w:tc>
        <w:tc>
          <w:tcPr>
            <w:tcW w:w="1434" w:type="dxa"/>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厂房或仓储面积</w:t>
            </w:r>
          </w:p>
        </w:tc>
        <w:tc>
          <w:tcPr>
            <w:tcW w:w="2695" w:type="dxa"/>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2" w:hRule="atLeast"/>
          <w:jc w:val="center"/>
        </w:trPr>
        <w:tc>
          <w:tcPr>
            <w:tcW w:w="840" w:type="dxa"/>
            <w:noWrap w:val="0"/>
            <w:tcMar>
              <w:left w:w="142" w:type="dxa"/>
              <w:right w:w="142" w:type="dxa"/>
            </w:tcMar>
            <w:vAlign w:val="center"/>
          </w:tcPr>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单</w:t>
            </w:r>
          </w:p>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位</w:t>
            </w:r>
          </w:p>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简</w:t>
            </w:r>
          </w:p>
          <w:p>
            <w:pPr>
              <w:spacing w:before="120" w:beforeLines="50" w:after="120" w:afterLines="50" w:line="312" w:lineRule="auto"/>
              <w:jc w:val="center"/>
              <w:rPr>
                <w:rFonts w:hint="eastAsia" w:ascii="宋体" w:hAnsi="宋体" w:cs="宋体"/>
                <w:color w:val="auto"/>
                <w:szCs w:val="21"/>
                <w:highlight w:val="none"/>
              </w:rPr>
            </w:pPr>
            <w:r>
              <w:rPr>
                <w:rFonts w:hint="eastAsia" w:ascii="宋体" w:hAnsi="宋体" w:cs="宋体"/>
                <w:color w:val="auto"/>
                <w:szCs w:val="21"/>
                <w:highlight w:val="none"/>
              </w:rPr>
              <w:t>历</w:t>
            </w:r>
          </w:p>
        </w:tc>
        <w:tc>
          <w:tcPr>
            <w:tcW w:w="8123" w:type="dxa"/>
            <w:gridSpan w:val="5"/>
            <w:noWrap w:val="0"/>
            <w:tcMar>
              <w:left w:w="142" w:type="dxa"/>
              <w:right w:w="142" w:type="dxa"/>
            </w:tcMar>
            <w:vAlign w:val="center"/>
          </w:tcPr>
          <w:p>
            <w:pPr>
              <w:spacing w:before="120" w:beforeLines="50" w:after="120" w:afterLines="50" w:line="312" w:lineRule="auto"/>
              <w:jc w:val="left"/>
              <w:rPr>
                <w:rFonts w:hint="eastAsia" w:ascii="宋体" w:hAnsi="宋体" w:cs="宋体"/>
                <w:color w:val="auto"/>
                <w:szCs w:val="21"/>
                <w:highlight w:val="none"/>
              </w:rPr>
            </w:pPr>
            <w:r>
              <w:rPr>
                <w:rFonts w:hint="eastAsia" w:ascii="宋体" w:hAnsi="宋体" w:cs="宋体"/>
                <w:color w:val="auto"/>
                <w:szCs w:val="21"/>
                <w:highlight w:val="none"/>
              </w:rPr>
              <w:t>（包括业绩，企业变更情况等）</w:t>
            </w:r>
          </w:p>
        </w:tc>
      </w:tr>
    </w:tbl>
    <w:p>
      <w:pPr>
        <w:spacing w:before="120" w:beforeLines="50" w:after="120" w:afterLines="50" w:line="312" w:lineRule="auto"/>
        <w:rPr>
          <w:rFonts w:hint="eastAsia" w:ascii="宋体" w:hAnsi="宋体" w:cs="宋体"/>
          <w:color w:val="auto"/>
          <w:szCs w:val="21"/>
          <w:highlight w:val="none"/>
        </w:rPr>
      </w:pPr>
      <w:r>
        <w:rPr>
          <w:rFonts w:hint="eastAsia" w:ascii="宋体" w:hAnsi="宋体" w:cs="宋体"/>
          <w:color w:val="auto"/>
          <w:szCs w:val="21"/>
          <w:highlight w:val="none"/>
        </w:rPr>
        <w:t>注：此表在不改变表式的情况下，可自行制作。</w:t>
      </w:r>
    </w:p>
    <w:bookmarkEnd w:id="127"/>
    <w:bookmarkEnd w:id="128"/>
    <w:p>
      <w:pPr>
        <w:snapToGrid w:val="0"/>
        <w:spacing w:line="312" w:lineRule="auto"/>
        <w:rPr>
          <w:rFonts w:hint="eastAsia" w:ascii="宋体" w:hAnsi="宋体" w:cs="宋体"/>
          <w:color w:val="auto"/>
          <w:szCs w:val="21"/>
          <w:highlight w:val="none"/>
        </w:rPr>
      </w:pPr>
    </w:p>
    <w:p>
      <w:pPr>
        <w:pStyle w:val="2"/>
        <w:spacing w:line="312" w:lineRule="auto"/>
        <w:rPr>
          <w:rFonts w:hint="eastAsia" w:ascii="宋体" w:hAnsi="宋体" w:eastAsia="宋体" w:cs="宋体"/>
          <w:color w:val="auto"/>
          <w:highlight w:val="none"/>
        </w:rPr>
      </w:pPr>
    </w:p>
    <w:p>
      <w:pPr>
        <w:wordWrap w:val="0"/>
        <w:snapToGrid w:val="0"/>
        <w:spacing w:line="480" w:lineRule="auto"/>
        <w:jc w:val="right"/>
        <w:rPr>
          <w:rFonts w:hint="eastAsia" w:ascii="宋体" w:hAnsi="宋体" w:eastAsia="宋体" w:cs="宋体"/>
          <w:szCs w:val="21"/>
          <w:highlight w:val="none"/>
        </w:rPr>
      </w:pPr>
      <w:r>
        <w:rPr>
          <w:rFonts w:hint="eastAsia" w:ascii="宋体" w:hAnsi="宋体" w:cs="宋体"/>
          <w:color w:val="auto"/>
          <w:szCs w:val="21"/>
          <w:highlight w:val="none"/>
          <w:lang w:val="zh-CN"/>
        </w:rPr>
        <w:t xml:space="preserve">                       </w:t>
      </w:r>
      <w:r>
        <w:rPr>
          <w:rFonts w:hint="eastAsia" w:ascii="宋体" w:hAnsi="宋体" w:eastAsia="宋体" w:cs="宋体"/>
          <w:szCs w:val="21"/>
          <w:highlight w:val="none"/>
        </w:rPr>
        <w:t xml:space="preserve">投标人（盖章）：                      </w:t>
      </w:r>
    </w:p>
    <w:p>
      <w:pPr>
        <w:wordWrap w:val="0"/>
        <w:snapToGrid w:val="0"/>
        <w:spacing w:line="480" w:lineRule="auto"/>
        <w:jc w:val="right"/>
        <w:rPr>
          <w:rFonts w:hint="eastAsia" w:ascii="宋体" w:hAnsi="宋体" w:eastAsia="宋体" w:cs="宋体"/>
          <w:szCs w:val="21"/>
          <w:highlight w:val="none"/>
        </w:rPr>
      </w:pPr>
      <w:r>
        <w:rPr>
          <w:rFonts w:hint="eastAsia" w:ascii="宋体" w:hAnsi="宋体" w:eastAsia="宋体" w:cs="宋体"/>
          <w:szCs w:val="21"/>
          <w:highlight w:val="none"/>
        </w:rPr>
        <w:t>法定代表人或授权代表人（签字</w:t>
      </w:r>
      <w:r>
        <w:rPr>
          <w:rFonts w:hint="eastAsia" w:ascii="宋体" w:hAnsi="宋体" w:eastAsia="宋体" w:cs="宋体"/>
          <w:szCs w:val="21"/>
          <w:highlight w:val="none"/>
          <w:lang w:val="en-US" w:eastAsia="zh-CN"/>
        </w:rPr>
        <w:t>或盖章</w:t>
      </w:r>
      <w:r>
        <w:rPr>
          <w:rFonts w:hint="eastAsia" w:ascii="宋体" w:hAnsi="宋体" w:eastAsia="宋体" w:cs="宋体"/>
          <w:szCs w:val="21"/>
          <w:highlight w:val="none"/>
        </w:rPr>
        <w:t xml:space="preserve">）：                      </w:t>
      </w:r>
    </w:p>
    <w:p>
      <w:pPr>
        <w:autoSpaceDE w:val="0"/>
        <w:autoSpaceDN w:val="0"/>
        <w:adjustRightInd w:val="0"/>
        <w:spacing w:line="312" w:lineRule="auto"/>
        <w:ind w:firstLine="6308" w:firstLineChars="3004"/>
        <w:rPr>
          <w:rFonts w:hint="eastAsia" w:ascii="宋体" w:hAnsi="宋体" w:cs="宋体"/>
          <w:color w:val="auto"/>
          <w:szCs w:val="21"/>
          <w:highlight w:val="none"/>
        </w:rPr>
      </w:pPr>
      <w:r>
        <w:rPr>
          <w:rFonts w:hint="eastAsia" w:ascii="宋体" w:hAnsi="宋体" w:eastAsia="宋体" w:cs="宋体"/>
          <w:b w:val="0"/>
          <w:bCs w:val="0"/>
          <w:spacing w:val="0"/>
          <w:kern w:val="2"/>
          <w:sz w:val="21"/>
          <w:szCs w:val="21"/>
          <w:highlight w:val="none"/>
          <w:lang w:val="en-US" w:eastAsia="zh-CN" w:bidi="ar-SA"/>
        </w:rPr>
        <w:t xml:space="preserve">日  期： </w:t>
      </w:r>
      <w:r>
        <w:rPr>
          <w:rFonts w:hint="eastAsia" w:ascii="宋体" w:hAnsi="宋体" w:eastAsia="宋体" w:cs="宋体"/>
          <w:szCs w:val="21"/>
          <w:highlight w:val="none"/>
        </w:rPr>
        <w:t xml:space="preserve">       </w:t>
      </w:r>
    </w:p>
    <w:p>
      <w:pPr>
        <w:snapToGrid w:val="0"/>
        <w:spacing w:line="312" w:lineRule="auto"/>
        <w:rPr>
          <w:rFonts w:hint="eastAsia" w:ascii="宋体" w:hAnsi="宋体" w:cs="宋体"/>
          <w:color w:val="auto"/>
          <w:szCs w:val="21"/>
          <w:highlight w:val="none"/>
        </w:rPr>
      </w:pPr>
    </w:p>
    <w:p>
      <w:pPr>
        <w:pStyle w:val="2"/>
        <w:rPr>
          <w:rFonts w:hint="eastAsia"/>
          <w:highlight w:val="none"/>
        </w:rPr>
      </w:pPr>
    </w:p>
    <w:p>
      <w:pPr>
        <w:snapToGrid w:val="0"/>
        <w:spacing w:line="312" w:lineRule="auto"/>
        <w:rPr>
          <w:rFonts w:hint="eastAsia" w:ascii="宋体" w:hAnsi="宋体" w:cs="宋体"/>
          <w:color w:val="auto"/>
          <w:szCs w:val="21"/>
          <w:highlight w:val="none"/>
        </w:rPr>
      </w:pPr>
    </w:p>
    <w:p>
      <w:pPr>
        <w:snapToGrid w:val="0"/>
        <w:spacing w:line="312" w:lineRule="auto"/>
        <w:rPr>
          <w:rFonts w:hint="eastAsia" w:ascii="宋体" w:hAnsi="宋体" w:cs="宋体"/>
          <w:color w:val="auto"/>
          <w:szCs w:val="21"/>
          <w:highlight w:val="none"/>
        </w:rPr>
      </w:pPr>
    </w:p>
    <w:p>
      <w:pPr>
        <w:snapToGrid w:val="0"/>
        <w:spacing w:line="312" w:lineRule="auto"/>
        <w:rPr>
          <w:rFonts w:hint="eastAsia" w:ascii="宋体" w:hAnsi="宋体" w:cs="宋体"/>
          <w:color w:val="auto"/>
          <w:szCs w:val="21"/>
          <w:highlight w:val="none"/>
        </w:rPr>
      </w:pPr>
    </w:p>
    <w:p>
      <w:pPr>
        <w:pStyle w:val="32"/>
        <w:snapToGrid w:val="0"/>
        <w:spacing w:line="312" w:lineRule="auto"/>
        <w:jc w:val="center"/>
        <w:rPr>
          <w:rFonts w:hint="eastAsia" w:hAnsi="宋体" w:cs="宋体"/>
          <w:color w:val="auto"/>
          <w:szCs w:val="21"/>
          <w:highlight w:val="none"/>
        </w:rPr>
      </w:pPr>
      <w:r>
        <w:rPr>
          <w:rFonts w:hint="eastAsia" w:hAnsi="宋体" w:cs="宋体"/>
          <w:color w:val="auto"/>
          <w:szCs w:val="21"/>
          <w:highlight w:val="none"/>
        </w:rPr>
        <w:t>3  投标人业绩情况表</w:t>
      </w:r>
    </w:p>
    <w:p>
      <w:pPr>
        <w:pStyle w:val="32"/>
        <w:snapToGrid w:val="0"/>
        <w:spacing w:line="312" w:lineRule="auto"/>
        <w:jc w:val="center"/>
        <w:rPr>
          <w:rFonts w:hint="eastAsia" w:hAnsi="宋体" w:cs="宋体"/>
          <w:color w:val="auto"/>
          <w:szCs w:val="21"/>
          <w:highlight w:val="none"/>
        </w:rPr>
      </w:pPr>
    </w:p>
    <w:p>
      <w:pPr>
        <w:shd w:val="clear" w:color="auto" w:fill="FFFFFF"/>
        <w:spacing w:line="312"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 xml:space="preserve"> </w:t>
      </w:r>
    </w:p>
    <w:tbl>
      <w:tblPr>
        <w:tblStyle w:val="61"/>
        <w:tblW w:w="9221" w:type="dxa"/>
        <w:jc w:val="center"/>
        <w:tblLayout w:type="fixed"/>
        <w:tblCellMar>
          <w:top w:w="0" w:type="dxa"/>
          <w:left w:w="108" w:type="dxa"/>
          <w:bottom w:w="0" w:type="dxa"/>
          <w:right w:w="108" w:type="dxa"/>
        </w:tblCellMar>
      </w:tblPr>
      <w:tblGrid>
        <w:gridCol w:w="2417"/>
        <w:gridCol w:w="1701"/>
        <w:gridCol w:w="1701"/>
        <w:gridCol w:w="1701"/>
        <w:gridCol w:w="1701"/>
      </w:tblGrid>
      <w:tr>
        <w:tblPrEx>
          <w:tblCellMar>
            <w:top w:w="0" w:type="dxa"/>
            <w:left w:w="108" w:type="dxa"/>
            <w:bottom w:w="0" w:type="dxa"/>
            <w:right w:w="108" w:type="dxa"/>
          </w:tblCellMar>
        </w:tblPrEx>
        <w:trPr>
          <w:trHeight w:val="840" w:hRule="atLeast"/>
          <w:jc w:val="center"/>
        </w:trPr>
        <w:tc>
          <w:tcPr>
            <w:tcW w:w="241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12" w:lineRule="auto"/>
              <w:jc w:val="center"/>
              <w:rPr>
                <w:rFonts w:hint="eastAsia" w:ascii="宋体" w:hAnsi="宋体" w:cs="宋体"/>
                <w:b/>
                <w:bCs/>
                <w:color w:val="auto"/>
                <w:spacing w:val="14"/>
                <w:szCs w:val="21"/>
                <w:highlight w:val="none"/>
              </w:rPr>
            </w:pPr>
            <w:r>
              <w:rPr>
                <w:rFonts w:hint="eastAsia" w:ascii="宋体" w:hAnsi="宋体" w:cs="宋体"/>
                <w:b/>
                <w:bCs/>
                <w:color w:val="auto"/>
                <w:spacing w:val="14"/>
                <w:szCs w:val="21"/>
                <w:highlight w:val="none"/>
              </w:rPr>
              <w:t>项    目</w:t>
            </w: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r>
      <w:tr>
        <w:tblPrEx>
          <w:tblCellMar>
            <w:top w:w="0" w:type="dxa"/>
            <w:left w:w="108" w:type="dxa"/>
            <w:bottom w:w="0" w:type="dxa"/>
            <w:right w:w="108" w:type="dxa"/>
          </w:tblCellMar>
        </w:tblPrEx>
        <w:trPr>
          <w:trHeight w:val="975" w:hRule="atLeast"/>
          <w:jc w:val="center"/>
        </w:trPr>
        <w:tc>
          <w:tcPr>
            <w:tcW w:w="241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12" w:lineRule="auto"/>
              <w:jc w:val="center"/>
              <w:rPr>
                <w:rFonts w:hint="eastAsia" w:ascii="宋体" w:hAnsi="宋体" w:cs="宋体"/>
                <w:b/>
                <w:bCs/>
                <w:color w:val="auto"/>
                <w:spacing w:val="14"/>
                <w:szCs w:val="21"/>
                <w:highlight w:val="none"/>
              </w:rPr>
            </w:pPr>
            <w:r>
              <w:rPr>
                <w:rFonts w:hint="eastAsia" w:ascii="宋体" w:hAnsi="宋体" w:cs="宋体"/>
                <w:b/>
                <w:bCs/>
                <w:color w:val="auto"/>
                <w:spacing w:val="14"/>
                <w:szCs w:val="21"/>
                <w:highlight w:val="none"/>
              </w:rPr>
              <w:t>采购人名称</w:t>
            </w: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r>
      <w:tr>
        <w:tblPrEx>
          <w:tblCellMar>
            <w:top w:w="0" w:type="dxa"/>
            <w:left w:w="108" w:type="dxa"/>
            <w:bottom w:w="0" w:type="dxa"/>
            <w:right w:w="108" w:type="dxa"/>
          </w:tblCellMar>
        </w:tblPrEx>
        <w:trPr>
          <w:trHeight w:val="1075" w:hRule="atLeast"/>
          <w:jc w:val="center"/>
        </w:trPr>
        <w:tc>
          <w:tcPr>
            <w:tcW w:w="241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12" w:lineRule="auto"/>
              <w:jc w:val="center"/>
              <w:rPr>
                <w:rFonts w:hint="eastAsia" w:ascii="宋体" w:hAnsi="宋体" w:cs="宋体"/>
                <w:b/>
                <w:bCs/>
                <w:color w:val="auto"/>
                <w:spacing w:val="14"/>
                <w:szCs w:val="21"/>
                <w:highlight w:val="none"/>
              </w:rPr>
            </w:pPr>
            <w:r>
              <w:rPr>
                <w:rFonts w:hint="eastAsia" w:ascii="宋体" w:hAnsi="宋体" w:cs="宋体"/>
                <w:b/>
                <w:bCs/>
                <w:color w:val="auto"/>
                <w:spacing w:val="14"/>
                <w:szCs w:val="21"/>
                <w:highlight w:val="none"/>
              </w:rPr>
              <w:t>项目地点</w:t>
            </w: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r>
      <w:tr>
        <w:tblPrEx>
          <w:tblCellMar>
            <w:top w:w="0" w:type="dxa"/>
            <w:left w:w="108" w:type="dxa"/>
            <w:bottom w:w="0" w:type="dxa"/>
            <w:right w:w="108" w:type="dxa"/>
          </w:tblCellMar>
        </w:tblPrEx>
        <w:trPr>
          <w:trHeight w:val="1005" w:hRule="atLeast"/>
          <w:jc w:val="center"/>
        </w:trPr>
        <w:tc>
          <w:tcPr>
            <w:tcW w:w="241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12" w:lineRule="auto"/>
              <w:jc w:val="center"/>
              <w:rPr>
                <w:rFonts w:hint="eastAsia" w:ascii="宋体" w:hAnsi="宋体" w:cs="宋体"/>
                <w:b/>
                <w:bCs/>
                <w:color w:val="auto"/>
                <w:spacing w:val="14"/>
                <w:szCs w:val="21"/>
                <w:highlight w:val="none"/>
              </w:rPr>
            </w:pPr>
            <w:r>
              <w:rPr>
                <w:rFonts w:hint="eastAsia" w:ascii="宋体" w:hAnsi="宋体" w:cs="宋体"/>
                <w:b/>
                <w:bCs/>
                <w:color w:val="auto"/>
                <w:spacing w:val="14"/>
                <w:szCs w:val="21"/>
                <w:highlight w:val="none"/>
              </w:rPr>
              <w:t>签订数量</w:t>
            </w: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p>
            <w:pPr>
              <w:shd w:val="clear" w:color="auto" w:fill="FFFFFF"/>
              <w:snapToGrid w:val="0"/>
              <w:spacing w:line="312" w:lineRule="auto"/>
              <w:ind w:firstLine="420"/>
              <w:jc w:val="center"/>
              <w:rPr>
                <w:rFonts w:hint="eastAsia" w:ascii="宋体" w:hAnsi="宋体" w:cs="宋体"/>
                <w:color w:val="auto"/>
                <w:spacing w:val="14"/>
                <w:szCs w:val="21"/>
                <w:highlight w:val="none"/>
              </w:rPr>
            </w:pPr>
          </w:p>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r>
      <w:tr>
        <w:tblPrEx>
          <w:tblCellMar>
            <w:top w:w="0" w:type="dxa"/>
            <w:left w:w="108" w:type="dxa"/>
            <w:bottom w:w="0" w:type="dxa"/>
            <w:right w:w="108" w:type="dxa"/>
          </w:tblCellMar>
        </w:tblPrEx>
        <w:trPr>
          <w:trHeight w:val="1075" w:hRule="atLeast"/>
          <w:jc w:val="center"/>
        </w:trPr>
        <w:tc>
          <w:tcPr>
            <w:tcW w:w="241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12" w:lineRule="auto"/>
              <w:jc w:val="center"/>
              <w:rPr>
                <w:rFonts w:hint="eastAsia" w:ascii="宋体" w:hAnsi="宋体" w:cs="宋体"/>
                <w:b/>
                <w:bCs/>
                <w:color w:val="auto"/>
                <w:spacing w:val="14"/>
                <w:szCs w:val="21"/>
                <w:highlight w:val="none"/>
              </w:rPr>
            </w:pPr>
            <w:r>
              <w:rPr>
                <w:rFonts w:hint="eastAsia" w:ascii="宋体" w:hAnsi="宋体" w:cs="宋体"/>
                <w:b/>
                <w:bCs/>
                <w:color w:val="auto"/>
                <w:spacing w:val="14"/>
                <w:szCs w:val="21"/>
                <w:highlight w:val="none"/>
              </w:rPr>
              <w:t>签订总价</w:t>
            </w: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r>
      <w:tr>
        <w:tblPrEx>
          <w:tblCellMar>
            <w:top w:w="0" w:type="dxa"/>
            <w:left w:w="108" w:type="dxa"/>
            <w:bottom w:w="0" w:type="dxa"/>
            <w:right w:w="108" w:type="dxa"/>
          </w:tblCellMar>
        </w:tblPrEx>
        <w:trPr>
          <w:trHeight w:val="1075" w:hRule="atLeast"/>
          <w:jc w:val="center"/>
        </w:trPr>
        <w:tc>
          <w:tcPr>
            <w:tcW w:w="241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12" w:lineRule="auto"/>
              <w:jc w:val="center"/>
              <w:rPr>
                <w:rFonts w:hint="eastAsia" w:ascii="宋体" w:hAnsi="宋体" w:cs="宋体"/>
                <w:b/>
                <w:bCs/>
                <w:color w:val="auto"/>
                <w:spacing w:val="14"/>
                <w:szCs w:val="21"/>
                <w:highlight w:val="none"/>
              </w:rPr>
            </w:pPr>
            <w:r>
              <w:rPr>
                <w:rFonts w:hint="eastAsia" w:ascii="宋体" w:hAnsi="宋体" w:cs="宋体"/>
                <w:b/>
                <w:bCs/>
                <w:color w:val="auto"/>
                <w:spacing w:val="14"/>
                <w:szCs w:val="21"/>
                <w:highlight w:val="none"/>
              </w:rPr>
              <w:t>合同时间</w:t>
            </w: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r>
      <w:tr>
        <w:tblPrEx>
          <w:tblCellMar>
            <w:top w:w="0" w:type="dxa"/>
            <w:left w:w="108" w:type="dxa"/>
            <w:bottom w:w="0" w:type="dxa"/>
            <w:right w:w="108" w:type="dxa"/>
          </w:tblCellMar>
        </w:tblPrEx>
        <w:trPr>
          <w:trHeight w:val="1075" w:hRule="atLeast"/>
          <w:jc w:val="center"/>
        </w:trPr>
        <w:tc>
          <w:tcPr>
            <w:tcW w:w="241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12" w:lineRule="auto"/>
              <w:jc w:val="center"/>
              <w:rPr>
                <w:rFonts w:hint="eastAsia" w:ascii="宋体" w:hAnsi="宋体" w:cs="宋体"/>
                <w:b/>
                <w:bCs/>
                <w:color w:val="auto"/>
                <w:spacing w:val="14"/>
                <w:szCs w:val="21"/>
                <w:highlight w:val="none"/>
              </w:rPr>
            </w:pPr>
            <w:r>
              <w:rPr>
                <w:rFonts w:hint="eastAsia" w:ascii="宋体" w:hAnsi="宋体" w:cs="宋体"/>
                <w:b/>
                <w:bCs/>
                <w:color w:val="auto"/>
                <w:spacing w:val="14"/>
                <w:szCs w:val="21"/>
                <w:highlight w:val="none"/>
              </w:rPr>
              <w:t>业主联系电话</w:t>
            </w: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r>
      <w:tr>
        <w:tblPrEx>
          <w:tblCellMar>
            <w:top w:w="0" w:type="dxa"/>
            <w:left w:w="108" w:type="dxa"/>
            <w:bottom w:w="0" w:type="dxa"/>
            <w:right w:w="108" w:type="dxa"/>
          </w:tblCellMar>
        </w:tblPrEx>
        <w:trPr>
          <w:trHeight w:val="1075" w:hRule="atLeast"/>
          <w:jc w:val="center"/>
        </w:trPr>
        <w:tc>
          <w:tcPr>
            <w:tcW w:w="2417"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12" w:lineRule="auto"/>
              <w:jc w:val="center"/>
              <w:rPr>
                <w:rFonts w:hint="eastAsia" w:ascii="宋体" w:hAnsi="宋体" w:cs="宋体"/>
                <w:b/>
                <w:bCs/>
                <w:color w:val="auto"/>
                <w:spacing w:val="14"/>
                <w:szCs w:val="21"/>
                <w:highlight w:val="none"/>
              </w:rPr>
            </w:pPr>
            <w:r>
              <w:rPr>
                <w:rFonts w:hint="eastAsia" w:ascii="宋体" w:hAnsi="宋体" w:cs="宋体"/>
                <w:b/>
                <w:bCs/>
                <w:color w:val="auto"/>
                <w:spacing w:val="14"/>
                <w:szCs w:val="21"/>
                <w:highlight w:val="none"/>
              </w:rPr>
              <w:t>备注</w:t>
            </w: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c>
          <w:tcPr>
            <w:tcW w:w="1701" w:type="dxa"/>
            <w:tcBorders>
              <w:top w:val="single" w:color="auto" w:sz="4" w:space="0"/>
              <w:left w:val="nil"/>
              <w:bottom w:val="single" w:color="auto" w:sz="4" w:space="0"/>
              <w:right w:val="single" w:color="auto" w:sz="4" w:space="0"/>
            </w:tcBorders>
            <w:noWrap w:val="0"/>
            <w:vAlign w:val="center"/>
          </w:tcPr>
          <w:p>
            <w:pPr>
              <w:shd w:val="clear" w:color="auto" w:fill="FFFFFF"/>
              <w:snapToGrid w:val="0"/>
              <w:spacing w:line="312" w:lineRule="auto"/>
              <w:ind w:firstLine="420"/>
              <w:jc w:val="center"/>
              <w:rPr>
                <w:rFonts w:hint="eastAsia" w:ascii="宋体" w:hAnsi="宋体" w:cs="宋体"/>
                <w:color w:val="auto"/>
                <w:spacing w:val="14"/>
                <w:szCs w:val="21"/>
                <w:highlight w:val="none"/>
              </w:rPr>
            </w:pPr>
          </w:p>
        </w:tc>
      </w:tr>
    </w:tbl>
    <w:p>
      <w:pPr>
        <w:snapToGrid w:val="0"/>
        <w:spacing w:line="312" w:lineRule="auto"/>
        <w:rPr>
          <w:rFonts w:hint="eastAsia" w:ascii="宋体" w:hAnsi="宋体" w:cs="宋体"/>
          <w:color w:val="auto"/>
          <w:szCs w:val="21"/>
          <w:highlight w:val="none"/>
        </w:rPr>
      </w:pPr>
    </w:p>
    <w:p>
      <w:pPr>
        <w:wordWrap w:val="0"/>
        <w:snapToGrid w:val="0"/>
        <w:spacing w:line="480" w:lineRule="auto"/>
        <w:jc w:val="right"/>
        <w:rPr>
          <w:rFonts w:hint="eastAsia" w:ascii="宋体" w:hAnsi="宋体" w:eastAsia="宋体" w:cs="宋体"/>
          <w:szCs w:val="21"/>
          <w:highlight w:val="none"/>
        </w:rPr>
      </w:pPr>
      <w:r>
        <w:rPr>
          <w:rFonts w:hint="eastAsia" w:ascii="宋体" w:hAnsi="宋体" w:cs="宋体"/>
          <w:color w:val="auto"/>
          <w:szCs w:val="21"/>
          <w:highlight w:val="none"/>
          <w:lang w:val="zh-CN"/>
        </w:rPr>
        <w:t xml:space="preserve">                         </w:t>
      </w:r>
      <w:r>
        <w:rPr>
          <w:rFonts w:hint="eastAsia" w:ascii="宋体" w:hAnsi="宋体" w:eastAsia="宋体" w:cs="宋体"/>
          <w:szCs w:val="21"/>
          <w:highlight w:val="none"/>
        </w:rPr>
        <w:t xml:space="preserve">投标人（盖章）：                      </w:t>
      </w:r>
    </w:p>
    <w:p>
      <w:pPr>
        <w:wordWrap w:val="0"/>
        <w:snapToGrid w:val="0"/>
        <w:spacing w:line="480" w:lineRule="auto"/>
        <w:jc w:val="right"/>
        <w:rPr>
          <w:rFonts w:hint="eastAsia" w:ascii="宋体" w:hAnsi="宋体" w:eastAsia="宋体" w:cs="宋体"/>
          <w:szCs w:val="21"/>
          <w:highlight w:val="none"/>
        </w:rPr>
      </w:pPr>
      <w:r>
        <w:rPr>
          <w:rFonts w:hint="eastAsia" w:ascii="宋体" w:hAnsi="宋体" w:eastAsia="宋体" w:cs="宋体"/>
          <w:szCs w:val="21"/>
          <w:highlight w:val="none"/>
        </w:rPr>
        <w:t>法定代表人或授权代表人（签字</w:t>
      </w:r>
      <w:r>
        <w:rPr>
          <w:rFonts w:hint="eastAsia" w:ascii="宋体" w:hAnsi="宋体" w:eastAsia="宋体" w:cs="宋体"/>
          <w:szCs w:val="21"/>
          <w:highlight w:val="none"/>
          <w:lang w:val="en-US" w:eastAsia="zh-CN"/>
        </w:rPr>
        <w:t>或盖章</w:t>
      </w:r>
      <w:r>
        <w:rPr>
          <w:rFonts w:hint="eastAsia" w:ascii="宋体" w:hAnsi="宋体" w:eastAsia="宋体" w:cs="宋体"/>
          <w:szCs w:val="21"/>
          <w:highlight w:val="none"/>
        </w:rPr>
        <w:t xml:space="preserve">）：                      </w:t>
      </w:r>
    </w:p>
    <w:p>
      <w:pPr>
        <w:snapToGrid w:val="0"/>
        <w:spacing w:line="312" w:lineRule="auto"/>
        <w:ind w:firstLine="6300" w:firstLineChars="3000"/>
        <w:rPr>
          <w:rFonts w:hint="eastAsia" w:ascii="宋体" w:hAnsi="宋体" w:eastAsia="宋体" w:cs="宋体"/>
          <w:szCs w:val="21"/>
          <w:highlight w:val="none"/>
        </w:rPr>
      </w:pPr>
      <w:r>
        <w:rPr>
          <w:rFonts w:hint="eastAsia" w:ascii="宋体" w:hAnsi="宋体" w:eastAsia="宋体" w:cs="宋体"/>
          <w:b w:val="0"/>
          <w:bCs w:val="0"/>
          <w:spacing w:val="0"/>
          <w:kern w:val="2"/>
          <w:sz w:val="21"/>
          <w:szCs w:val="21"/>
          <w:highlight w:val="none"/>
          <w:lang w:val="en-US" w:eastAsia="zh-CN" w:bidi="ar-SA"/>
        </w:rPr>
        <w:t xml:space="preserve">日  期： </w:t>
      </w:r>
      <w:r>
        <w:rPr>
          <w:rFonts w:hint="eastAsia" w:ascii="宋体" w:hAnsi="宋体" w:eastAsia="宋体" w:cs="宋体"/>
          <w:szCs w:val="21"/>
          <w:highlight w:val="none"/>
        </w:rPr>
        <w:t xml:space="preserve">       </w:t>
      </w:r>
    </w:p>
    <w:p>
      <w:pPr>
        <w:pStyle w:val="2"/>
        <w:rPr>
          <w:rFonts w:hint="eastAsia"/>
          <w:highlight w:val="none"/>
        </w:rPr>
      </w:pPr>
    </w:p>
    <w:p>
      <w:pPr>
        <w:snapToGrid w:val="0"/>
        <w:spacing w:line="312" w:lineRule="auto"/>
        <w:rPr>
          <w:rFonts w:hint="eastAsia" w:ascii="宋体" w:hAnsi="宋体" w:cs="宋体"/>
          <w:color w:val="auto"/>
          <w:szCs w:val="21"/>
          <w:highlight w:val="none"/>
        </w:rPr>
      </w:pPr>
    </w:p>
    <w:p>
      <w:pPr>
        <w:snapToGrid w:val="0"/>
        <w:spacing w:line="312" w:lineRule="auto"/>
        <w:rPr>
          <w:rFonts w:hint="eastAsia" w:ascii="宋体" w:hAnsi="宋体" w:cs="宋体"/>
          <w:color w:val="auto"/>
          <w:szCs w:val="21"/>
          <w:highlight w:val="none"/>
        </w:rPr>
      </w:pPr>
    </w:p>
    <w:p>
      <w:pPr>
        <w:snapToGrid w:val="0"/>
        <w:spacing w:line="312" w:lineRule="auto"/>
        <w:rPr>
          <w:rFonts w:hint="eastAsia" w:ascii="宋体" w:hAnsi="宋体" w:cs="宋体"/>
          <w:color w:val="auto"/>
          <w:szCs w:val="21"/>
          <w:highlight w:val="none"/>
        </w:rPr>
      </w:pPr>
    </w:p>
    <w:p>
      <w:pPr>
        <w:snapToGrid w:val="0"/>
        <w:spacing w:line="312" w:lineRule="auto"/>
        <w:rPr>
          <w:rFonts w:hint="eastAsia" w:ascii="宋体" w:hAnsi="宋体" w:cs="宋体"/>
          <w:color w:val="auto"/>
          <w:szCs w:val="21"/>
          <w:highlight w:val="none"/>
        </w:rPr>
      </w:pPr>
    </w:p>
    <w:p>
      <w:pPr>
        <w:pStyle w:val="2"/>
        <w:spacing w:line="312" w:lineRule="auto"/>
        <w:rPr>
          <w:rFonts w:hint="eastAsia" w:ascii="宋体" w:hAnsi="宋体" w:eastAsia="宋体" w:cs="宋体"/>
          <w:color w:val="auto"/>
          <w:sz w:val="21"/>
          <w:szCs w:val="21"/>
          <w:highlight w:val="none"/>
        </w:rPr>
      </w:pPr>
    </w:p>
    <w:p>
      <w:pPr>
        <w:pStyle w:val="32"/>
        <w:snapToGrid w:val="0"/>
        <w:spacing w:line="312"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4 </w:t>
      </w:r>
      <w:r>
        <w:rPr>
          <w:rFonts w:hint="eastAsia" w:ascii="宋体" w:hAnsi="宋体" w:eastAsia="宋体" w:cs="宋体"/>
          <w:color w:val="auto"/>
          <w:szCs w:val="21"/>
          <w:highlight w:val="none"/>
        </w:rPr>
        <w:t>开标一览表</w:t>
      </w:r>
    </w:p>
    <w:p>
      <w:pPr>
        <w:pStyle w:val="32"/>
        <w:spacing w:line="312" w:lineRule="auto"/>
        <w:ind w:firstLine="420" w:firstLineChars="200"/>
        <w:rPr>
          <w:rFonts w:hint="eastAsia" w:ascii="宋体" w:hAnsi="宋体" w:eastAsia="宋体" w:cs="宋体"/>
          <w:b w:val="0"/>
          <w:bCs/>
          <w:szCs w:val="21"/>
          <w:highlight w:val="none"/>
        </w:rPr>
      </w:pPr>
    </w:p>
    <w:p>
      <w:pPr>
        <w:pStyle w:val="32"/>
        <w:spacing w:line="312" w:lineRule="auto"/>
        <w:ind w:firstLine="420" w:firstLineChars="200"/>
        <w:rPr>
          <w:rFonts w:hint="eastAsia" w:ascii="宋体" w:hAnsi="宋体" w:eastAsia="宋体" w:cs="宋体"/>
          <w:b w:val="0"/>
          <w:bCs/>
          <w:szCs w:val="21"/>
          <w:highlight w:val="none"/>
        </w:rPr>
      </w:pPr>
    </w:p>
    <w:p>
      <w:pPr>
        <w:pStyle w:val="32"/>
        <w:spacing w:line="312" w:lineRule="auto"/>
        <w:ind w:firstLine="420" w:firstLineChars="200"/>
        <w:rPr>
          <w:rFonts w:hint="eastAsia" w:ascii="宋体" w:hAnsi="宋体" w:eastAsia="宋体" w:cs="宋体"/>
          <w:b w:val="0"/>
          <w:bCs/>
          <w:szCs w:val="21"/>
          <w:highlight w:val="none"/>
        </w:rPr>
      </w:pPr>
      <w:r>
        <w:rPr>
          <w:rFonts w:hint="eastAsia" w:ascii="宋体" w:hAnsi="宋体" w:eastAsia="宋体" w:cs="宋体"/>
          <w:b w:val="0"/>
          <w:bCs/>
          <w:szCs w:val="21"/>
          <w:highlight w:val="none"/>
        </w:rPr>
        <w:t>项目名称：</w:t>
      </w:r>
    </w:p>
    <w:p>
      <w:pPr>
        <w:pStyle w:val="32"/>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eastAsia" w:ascii="宋体" w:hAnsi="宋体" w:eastAsia="宋体" w:cs="宋体"/>
          <w:b w:val="0"/>
          <w:bCs/>
          <w:szCs w:val="21"/>
          <w:highlight w:val="none"/>
          <w:lang w:eastAsia="zh-CN"/>
        </w:rPr>
      </w:pPr>
      <w:r>
        <w:rPr>
          <w:rFonts w:hint="eastAsia" w:ascii="宋体" w:hAnsi="宋体" w:eastAsia="宋体" w:cs="宋体"/>
          <w:b w:val="0"/>
          <w:bCs/>
          <w:szCs w:val="21"/>
          <w:highlight w:val="none"/>
        </w:rPr>
        <w:t>招标编号：                                                            单位：</w:t>
      </w:r>
      <w:r>
        <w:rPr>
          <w:rFonts w:hint="eastAsia" w:ascii="宋体" w:hAnsi="宋体" w:eastAsia="宋体" w:cs="宋体"/>
          <w:b w:val="0"/>
          <w:bCs/>
          <w:szCs w:val="21"/>
          <w:highlight w:val="none"/>
          <w:lang w:val="en-US" w:eastAsia="zh-CN"/>
        </w:rPr>
        <w:t>%</w:t>
      </w:r>
    </w:p>
    <w:tbl>
      <w:tblPr>
        <w:tblStyle w:val="61"/>
        <w:tblpPr w:leftFromText="180" w:rightFromText="180" w:vertAnchor="text" w:horzAnchor="page" w:tblpXSpec="center" w:tblpY="167"/>
        <w:tblOverlap w:val="never"/>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4824"/>
        <w:gridCol w:w="1157"/>
        <w:gridCol w:w="115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noWrap w:val="0"/>
            <w:vAlign w:val="center"/>
          </w:tcPr>
          <w:p>
            <w:pPr>
              <w:pStyle w:val="215"/>
              <w:spacing w:line="312" w:lineRule="auto"/>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4824" w:type="dxa"/>
            <w:noWrap w:val="0"/>
            <w:vAlign w:val="center"/>
          </w:tcPr>
          <w:p>
            <w:pPr>
              <w:pStyle w:val="215"/>
              <w:spacing w:line="312" w:lineRule="auto"/>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项目名称</w:t>
            </w:r>
          </w:p>
        </w:tc>
        <w:tc>
          <w:tcPr>
            <w:tcW w:w="1157" w:type="dxa"/>
            <w:noWrap w:val="0"/>
            <w:vAlign w:val="center"/>
          </w:tcPr>
          <w:p>
            <w:pPr>
              <w:pStyle w:val="215"/>
              <w:spacing w:line="312" w:lineRule="auto"/>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单位</w:t>
            </w:r>
          </w:p>
        </w:tc>
        <w:tc>
          <w:tcPr>
            <w:tcW w:w="1157" w:type="dxa"/>
            <w:noWrap w:val="0"/>
            <w:vAlign w:val="center"/>
          </w:tcPr>
          <w:p>
            <w:pPr>
              <w:pStyle w:val="215"/>
              <w:spacing w:line="312" w:lineRule="auto"/>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数量</w:t>
            </w:r>
          </w:p>
        </w:tc>
        <w:tc>
          <w:tcPr>
            <w:tcW w:w="1089" w:type="dxa"/>
            <w:noWrap w:val="0"/>
            <w:vAlign w:val="center"/>
          </w:tcPr>
          <w:p>
            <w:pPr>
              <w:pStyle w:val="215"/>
              <w:spacing w:line="312" w:lineRule="auto"/>
              <w:ind w:firstLine="0" w:firstLineChars="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713" w:type="dxa"/>
            <w:vMerge w:val="restart"/>
            <w:noWrap w:val="0"/>
            <w:vAlign w:val="center"/>
          </w:tcPr>
          <w:p>
            <w:pPr>
              <w:pStyle w:val="215"/>
              <w:spacing w:line="312" w:lineRule="auto"/>
              <w:ind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4824" w:type="dxa"/>
            <w:noWrap w:val="0"/>
            <w:vAlign w:val="center"/>
          </w:tcPr>
          <w:p>
            <w:pPr>
              <w:pStyle w:val="215"/>
              <w:spacing w:line="312" w:lineRule="auto"/>
              <w:ind w:firstLine="0" w:firstLineChars="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衢州市第三医院2022-2024年度</w:t>
            </w:r>
            <w:r>
              <w:rPr>
                <w:rFonts w:hint="eastAsia" w:ascii="宋体" w:eastAsia="宋体" w:cs="宋体"/>
                <w:sz w:val="21"/>
                <w:szCs w:val="21"/>
                <w:highlight w:val="none"/>
                <w:lang w:eastAsia="zh-CN"/>
              </w:rPr>
              <w:t>食堂蔬菜（包括干货、豆制品、半成品食品）及水果</w:t>
            </w:r>
            <w:r>
              <w:rPr>
                <w:rFonts w:hint="eastAsia" w:ascii="宋体" w:hAnsi="宋体" w:eastAsia="宋体" w:cs="宋体"/>
                <w:sz w:val="21"/>
                <w:szCs w:val="21"/>
                <w:highlight w:val="none"/>
                <w:lang w:eastAsia="zh-CN"/>
              </w:rPr>
              <w:t>配送采购项目</w:t>
            </w:r>
          </w:p>
        </w:tc>
        <w:tc>
          <w:tcPr>
            <w:tcW w:w="1157" w:type="dxa"/>
            <w:noWrap w:val="0"/>
            <w:vAlign w:val="center"/>
          </w:tcPr>
          <w:p>
            <w:pPr>
              <w:pStyle w:val="215"/>
              <w:spacing w:line="312" w:lineRule="auto"/>
              <w:ind w:firstLine="0" w:firstLineChars="0"/>
              <w:jc w:val="center"/>
              <w:rPr>
                <w:rFonts w:hint="eastAsia" w:ascii="宋体" w:hAnsi="宋体" w:eastAsia="宋体" w:cs="宋体"/>
                <w:sz w:val="21"/>
                <w:szCs w:val="21"/>
                <w:highlight w:val="none"/>
                <w:lang w:eastAsia="zh-CN"/>
              </w:rPr>
            </w:pPr>
            <w:r>
              <w:rPr>
                <w:rFonts w:hint="eastAsia" w:ascii="宋体" w:eastAsia="宋体" w:cs="宋体"/>
                <w:sz w:val="21"/>
                <w:szCs w:val="21"/>
                <w:highlight w:val="none"/>
                <w:lang w:val="en-US" w:eastAsia="zh-CN"/>
              </w:rPr>
              <w:t>年</w:t>
            </w:r>
          </w:p>
        </w:tc>
        <w:tc>
          <w:tcPr>
            <w:tcW w:w="1157" w:type="dxa"/>
            <w:noWrap w:val="0"/>
            <w:vAlign w:val="center"/>
          </w:tcPr>
          <w:p>
            <w:pPr>
              <w:pStyle w:val="215"/>
              <w:spacing w:line="312" w:lineRule="auto"/>
              <w:ind w:firstLine="0" w:firstLineChars="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2</w:t>
            </w:r>
          </w:p>
        </w:tc>
        <w:tc>
          <w:tcPr>
            <w:tcW w:w="1089" w:type="dxa"/>
            <w:noWrap w:val="0"/>
            <w:vAlign w:val="center"/>
          </w:tcPr>
          <w:p>
            <w:pPr>
              <w:pStyle w:val="215"/>
              <w:spacing w:line="312" w:lineRule="auto"/>
              <w:ind w:firstLine="0" w:firstLineChars="0"/>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713" w:type="dxa"/>
            <w:vMerge w:val="continue"/>
            <w:noWrap w:val="0"/>
            <w:vAlign w:val="top"/>
          </w:tcPr>
          <w:p>
            <w:pPr>
              <w:pStyle w:val="215"/>
              <w:spacing w:line="312" w:lineRule="auto"/>
              <w:ind w:firstLine="0" w:firstLineChars="0"/>
              <w:jc w:val="center"/>
              <w:rPr>
                <w:rFonts w:hint="eastAsia" w:ascii="宋体" w:hAnsi="宋体" w:eastAsia="宋体" w:cs="宋体"/>
                <w:sz w:val="21"/>
                <w:szCs w:val="21"/>
                <w:highlight w:val="none"/>
              </w:rPr>
            </w:pPr>
          </w:p>
        </w:tc>
        <w:tc>
          <w:tcPr>
            <w:tcW w:w="8227" w:type="dxa"/>
            <w:gridSpan w:val="4"/>
            <w:noWrap w:val="0"/>
            <w:vAlign w:val="center"/>
          </w:tcPr>
          <w:p>
            <w:pPr>
              <w:pStyle w:val="215"/>
              <w:spacing w:line="312"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投标报价：(大写)                 (小写)</w:t>
            </w:r>
          </w:p>
        </w:tc>
      </w:tr>
    </w:tbl>
    <w:p>
      <w:pPr>
        <w:pStyle w:val="32"/>
        <w:spacing w:line="312" w:lineRule="auto"/>
        <w:rPr>
          <w:rFonts w:hint="eastAsia" w:ascii="宋体" w:hAnsi="宋体" w:eastAsia="宋体" w:cs="宋体"/>
          <w:szCs w:val="21"/>
          <w:highlight w:val="none"/>
        </w:rPr>
      </w:pPr>
    </w:p>
    <w:p>
      <w:pPr>
        <w:pStyle w:val="32"/>
        <w:spacing w:line="312" w:lineRule="auto"/>
        <w:rPr>
          <w:rFonts w:hint="eastAsia" w:ascii="宋体" w:hAnsi="宋体" w:eastAsia="宋体" w:cs="宋体"/>
          <w:szCs w:val="21"/>
          <w:highlight w:val="none"/>
        </w:rPr>
      </w:pPr>
    </w:p>
    <w:p>
      <w:pPr>
        <w:wordWrap w:val="0"/>
        <w:snapToGrid w:val="0"/>
        <w:spacing w:line="480" w:lineRule="auto"/>
        <w:jc w:val="right"/>
        <w:rPr>
          <w:rFonts w:hint="eastAsia" w:ascii="宋体" w:hAnsi="宋体" w:eastAsia="宋体" w:cs="宋体"/>
          <w:szCs w:val="21"/>
          <w:highlight w:val="none"/>
        </w:rPr>
      </w:pPr>
      <w:r>
        <w:rPr>
          <w:rFonts w:hint="eastAsia" w:ascii="宋体" w:hAnsi="宋体" w:eastAsia="宋体" w:cs="宋体"/>
          <w:szCs w:val="21"/>
          <w:highlight w:val="none"/>
        </w:rPr>
        <w:t xml:space="preserve">投标人（盖章）：                      </w:t>
      </w:r>
    </w:p>
    <w:p>
      <w:pPr>
        <w:wordWrap w:val="0"/>
        <w:snapToGrid w:val="0"/>
        <w:spacing w:line="480" w:lineRule="auto"/>
        <w:jc w:val="right"/>
        <w:rPr>
          <w:rFonts w:hint="eastAsia" w:ascii="宋体" w:hAnsi="宋体" w:eastAsia="宋体" w:cs="宋体"/>
          <w:szCs w:val="21"/>
          <w:highlight w:val="none"/>
        </w:rPr>
      </w:pPr>
      <w:r>
        <w:rPr>
          <w:rFonts w:hint="eastAsia" w:ascii="宋体" w:hAnsi="宋体" w:eastAsia="宋体" w:cs="宋体"/>
          <w:szCs w:val="21"/>
          <w:highlight w:val="none"/>
        </w:rPr>
        <w:t>法定代表人或授权代表人（签字</w:t>
      </w:r>
      <w:r>
        <w:rPr>
          <w:rFonts w:hint="eastAsia" w:ascii="宋体" w:hAnsi="宋体" w:eastAsia="宋体" w:cs="宋体"/>
          <w:szCs w:val="21"/>
          <w:highlight w:val="none"/>
          <w:lang w:val="en-US" w:eastAsia="zh-CN"/>
        </w:rPr>
        <w:t>或盖章</w:t>
      </w:r>
      <w:r>
        <w:rPr>
          <w:rFonts w:hint="eastAsia" w:ascii="宋体" w:hAnsi="宋体" w:eastAsia="宋体" w:cs="宋体"/>
          <w:szCs w:val="21"/>
          <w:highlight w:val="none"/>
        </w:rPr>
        <w:t xml:space="preserve">）：                      </w:t>
      </w:r>
    </w:p>
    <w:p>
      <w:pPr>
        <w:pStyle w:val="2"/>
        <w:spacing w:line="312" w:lineRule="auto"/>
        <w:ind w:firstLine="6300" w:firstLineChars="3000"/>
        <w:rPr>
          <w:rFonts w:hint="eastAsia" w:ascii="宋体" w:hAnsi="宋体" w:eastAsia="宋体" w:cs="宋体"/>
          <w:color w:val="auto"/>
          <w:sz w:val="21"/>
          <w:szCs w:val="21"/>
          <w:highlight w:val="none"/>
          <w:lang w:val="zh-CN"/>
        </w:rPr>
      </w:pPr>
      <w:r>
        <w:rPr>
          <w:rFonts w:hint="eastAsia" w:ascii="宋体" w:hAnsi="宋体" w:eastAsia="宋体" w:cs="宋体"/>
          <w:b w:val="0"/>
          <w:bCs w:val="0"/>
          <w:spacing w:val="0"/>
          <w:kern w:val="2"/>
          <w:sz w:val="21"/>
          <w:szCs w:val="21"/>
          <w:highlight w:val="none"/>
          <w:lang w:val="en-US" w:eastAsia="zh-CN" w:bidi="ar-SA"/>
        </w:rPr>
        <w:t xml:space="preserve">日  期： </w:t>
      </w:r>
      <w:r>
        <w:rPr>
          <w:rFonts w:hint="eastAsia" w:ascii="宋体" w:hAnsi="宋体" w:eastAsia="宋体" w:cs="宋体"/>
          <w:szCs w:val="21"/>
          <w:highlight w:val="none"/>
        </w:rPr>
        <w:t xml:space="preserve">               </w:t>
      </w:r>
    </w:p>
    <w:p>
      <w:pPr>
        <w:pStyle w:val="2"/>
        <w:spacing w:line="312" w:lineRule="auto"/>
        <w:rPr>
          <w:rFonts w:hint="eastAsia" w:ascii="宋体" w:hAnsi="宋体" w:eastAsia="宋体" w:cs="宋体"/>
          <w:color w:val="auto"/>
          <w:sz w:val="21"/>
          <w:szCs w:val="21"/>
          <w:highlight w:val="none"/>
          <w:lang w:val="zh-CN"/>
        </w:rPr>
      </w:pPr>
    </w:p>
    <w:p>
      <w:pPr>
        <w:pStyle w:val="32"/>
        <w:snapToGrid w:val="0"/>
        <w:spacing w:line="312" w:lineRule="auto"/>
        <w:rPr>
          <w:rFonts w:hint="eastAsia" w:hAnsi="宋体" w:cs="宋体"/>
          <w:color w:val="auto"/>
          <w:szCs w:val="21"/>
          <w:highlight w:val="none"/>
        </w:rPr>
      </w:pPr>
    </w:p>
    <w:p>
      <w:pPr>
        <w:pStyle w:val="32"/>
        <w:snapToGrid w:val="0"/>
        <w:spacing w:line="312" w:lineRule="auto"/>
        <w:jc w:val="center"/>
        <w:rPr>
          <w:rFonts w:hint="eastAsia" w:hAnsi="宋体" w:cs="宋体"/>
          <w:color w:val="auto"/>
          <w:szCs w:val="21"/>
          <w:highlight w:val="none"/>
        </w:rPr>
      </w:pPr>
    </w:p>
    <w:p>
      <w:pPr>
        <w:pStyle w:val="32"/>
        <w:snapToGrid w:val="0"/>
        <w:spacing w:line="312" w:lineRule="auto"/>
        <w:jc w:val="center"/>
        <w:rPr>
          <w:rFonts w:hint="eastAsia" w:hAnsi="宋体" w:cs="宋体"/>
          <w:color w:val="auto"/>
          <w:szCs w:val="21"/>
          <w:highlight w:val="none"/>
        </w:rPr>
      </w:pPr>
    </w:p>
    <w:p>
      <w:pPr>
        <w:pStyle w:val="32"/>
        <w:snapToGrid w:val="0"/>
        <w:spacing w:line="312" w:lineRule="auto"/>
        <w:jc w:val="center"/>
        <w:rPr>
          <w:rFonts w:hint="eastAsia" w:hAnsi="宋体" w:cs="宋体"/>
          <w:color w:val="auto"/>
          <w:szCs w:val="21"/>
          <w:highlight w:val="none"/>
        </w:rPr>
      </w:pPr>
    </w:p>
    <w:p>
      <w:pPr>
        <w:pStyle w:val="32"/>
        <w:snapToGrid w:val="0"/>
        <w:spacing w:line="312" w:lineRule="auto"/>
        <w:jc w:val="center"/>
        <w:rPr>
          <w:rFonts w:hint="eastAsia" w:hAnsi="宋体" w:cs="宋体"/>
          <w:color w:val="auto"/>
          <w:szCs w:val="21"/>
          <w:highlight w:val="none"/>
        </w:rPr>
      </w:pPr>
    </w:p>
    <w:p>
      <w:pPr>
        <w:pStyle w:val="32"/>
        <w:snapToGrid w:val="0"/>
        <w:spacing w:line="312" w:lineRule="auto"/>
        <w:jc w:val="center"/>
        <w:rPr>
          <w:rFonts w:hint="eastAsia" w:hAnsi="宋体" w:cs="宋体"/>
          <w:color w:val="auto"/>
          <w:szCs w:val="21"/>
          <w:highlight w:val="none"/>
        </w:rPr>
      </w:pPr>
    </w:p>
    <w:p>
      <w:pPr>
        <w:pStyle w:val="32"/>
        <w:snapToGrid w:val="0"/>
        <w:spacing w:line="312" w:lineRule="auto"/>
        <w:jc w:val="center"/>
        <w:rPr>
          <w:rFonts w:hint="eastAsia" w:hAnsi="宋体" w:cs="宋体"/>
          <w:color w:val="auto"/>
          <w:szCs w:val="21"/>
          <w:highlight w:val="none"/>
        </w:rPr>
      </w:pPr>
    </w:p>
    <w:p>
      <w:pPr>
        <w:rPr>
          <w:rFonts w:hint="eastAsia"/>
          <w:highlight w:val="none"/>
        </w:rPr>
      </w:pPr>
    </w:p>
    <w:p>
      <w:pPr>
        <w:pStyle w:val="32"/>
        <w:snapToGrid w:val="0"/>
        <w:spacing w:line="312" w:lineRule="auto"/>
        <w:jc w:val="center"/>
        <w:rPr>
          <w:rFonts w:hint="eastAsia" w:hAnsi="宋体" w:cs="宋体"/>
          <w:color w:val="auto"/>
          <w:szCs w:val="21"/>
          <w:highlight w:val="none"/>
        </w:rPr>
      </w:pPr>
    </w:p>
    <w:p>
      <w:pPr>
        <w:pStyle w:val="32"/>
        <w:snapToGrid w:val="0"/>
        <w:spacing w:line="312" w:lineRule="auto"/>
        <w:jc w:val="center"/>
        <w:rPr>
          <w:rFonts w:hint="eastAsia" w:hAnsi="宋体" w:cs="宋体"/>
          <w:color w:val="auto"/>
          <w:szCs w:val="21"/>
          <w:highlight w:val="none"/>
        </w:rPr>
      </w:pPr>
    </w:p>
    <w:p>
      <w:pPr>
        <w:pStyle w:val="32"/>
        <w:snapToGrid w:val="0"/>
        <w:spacing w:line="312" w:lineRule="auto"/>
        <w:jc w:val="center"/>
        <w:rPr>
          <w:rFonts w:hint="eastAsia" w:hAnsi="宋体" w:cs="宋体"/>
          <w:color w:val="auto"/>
          <w:szCs w:val="21"/>
          <w:highlight w:val="none"/>
        </w:rPr>
      </w:pPr>
    </w:p>
    <w:p>
      <w:pPr>
        <w:pStyle w:val="32"/>
        <w:snapToGrid w:val="0"/>
        <w:spacing w:line="312" w:lineRule="auto"/>
        <w:jc w:val="center"/>
        <w:rPr>
          <w:rFonts w:hint="eastAsia" w:hAnsi="宋体" w:cs="宋体"/>
          <w:color w:val="auto"/>
          <w:szCs w:val="21"/>
          <w:highlight w:val="none"/>
        </w:rPr>
      </w:pPr>
    </w:p>
    <w:p>
      <w:pPr>
        <w:pStyle w:val="32"/>
        <w:snapToGrid w:val="0"/>
        <w:spacing w:line="312" w:lineRule="auto"/>
        <w:jc w:val="center"/>
        <w:rPr>
          <w:rFonts w:hint="eastAsia" w:hAnsi="宋体" w:cs="宋体"/>
          <w:color w:val="auto"/>
          <w:szCs w:val="21"/>
          <w:highlight w:val="none"/>
        </w:rPr>
      </w:pPr>
    </w:p>
    <w:p>
      <w:pPr>
        <w:rPr>
          <w:rFonts w:hint="eastAsia" w:hAnsi="宋体" w:cs="宋体"/>
          <w:color w:val="auto"/>
          <w:szCs w:val="21"/>
          <w:highlight w:val="none"/>
        </w:rPr>
      </w:pPr>
    </w:p>
    <w:p>
      <w:pPr>
        <w:pStyle w:val="2"/>
        <w:rPr>
          <w:rFonts w:hint="eastAsia"/>
          <w:highlight w:val="none"/>
        </w:rPr>
      </w:pPr>
    </w:p>
    <w:p>
      <w:pPr>
        <w:pStyle w:val="32"/>
        <w:snapToGrid w:val="0"/>
        <w:spacing w:line="312" w:lineRule="auto"/>
        <w:jc w:val="center"/>
        <w:rPr>
          <w:rFonts w:hint="eastAsia" w:hAnsi="宋体" w:cs="宋体"/>
          <w:color w:val="auto"/>
          <w:szCs w:val="21"/>
          <w:highlight w:val="none"/>
        </w:rPr>
      </w:pPr>
    </w:p>
    <w:p>
      <w:pPr>
        <w:rPr>
          <w:rFonts w:hint="eastAsia" w:hAnsi="宋体" w:cs="宋体"/>
          <w:color w:val="auto"/>
          <w:szCs w:val="21"/>
          <w:highlight w:val="none"/>
        </w:rPr>
      </w:pPr>
    </w:p>
    <w:p>
      <w:pPr>
        <w:pStyle w:val="32"/>
        <w:snapToGrid w:val="0"/>
        <w:spacing w:line="312" w:lineRule="auto"/>
        <w:jc w:val="center"/>
        <w:rPr>
          <w:rFonts w:hint="eastAsia" w:hAnsi="宋体" w:cs="宋体"/>
          <w:color w:val="auto"/>
          <w:szCs w:val="21"/>
          <w:highlight w:val="none"/>
        </w:rPr>
      </w:pPr>
    </w:p>
    <w:p>
      <w:pPr>
        <w:pStyle w:val="32"/>
        <w:snapToGrid w:val="0"/>
        <w:spacing w:line="312" w:lineRule="auto"/>
        <w:jc w:val="center"/>
        <w:rPr>
          <w:rFonts w:hint="eastAsia" w:hAnsi="宋体" w:cs="宋体"/>
          <w:color w:val="auto"/>
          <w:szCs w:val="21"/>
          <w:highlight w:val="none"/>
          <w:lang w:val="zh-CN"/>
        </w:rPr>
      </w:pPr>
      <w:r>
        <w:rPr>
          <w:rFonts w:hint="eastAsia" w:hAnsi="宋体" w:cs="宋体"/>
          <w:color w:val="auto"/>
          <w:szCs w:val="21"/>
          <w:highlight w:val="none"/>
        </w:rPr>
        <w:t xml:space="preserve">5  </w:t>
      </w:r>
      <w:r>
        <w:rPr>
          <w:rFonts w:hint="eastAsia" w:hAnsi="宋体" w:cs="宋体"/>
          <w:color w:val="auto"/>
          <w:szCs w:val="21"/>
          <w:highlight w:val="none"/>
          <w:lang w:val="zh-CN"/>
        </w:rPr>
        <w:t>投标廉洁承诺书</w:t>
      </w:r>
    </w:p>
    <w:p>
      <w:pPr>
        <w:adjustRightInd w:val="0"/>
        <w:snapToGrid w:val="0"/>
        <w:spacing w:line="312" w:lineRule="auto"/>
        <w:ind w:firstLine="420" w:firstLineChars="200"/>
        <w:rPr>
          <w:rFonts w:hint="eastAsia" w:ascii="宋体" w:hAnsi="宋体" w:cs="宋体"/>
          <w:color w:val="auto"/>
          <w:szCs w:val="21"/>
          <w:highlight w:val="none"/>
        </w:rPr>
      </w:pPr>
    </w:p>
    <w:p>
      <w:pPr>
        <w:adjustRightInd w:val="0"/>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为维护市场公平竞争，营造诚实守信的招投标交易环境，防止发生违法违纪行为，根据国家有关法律法规和廉政建设责任制有关规定，本投标人特作如下承诺：</w:t>
      </w:r>
    </w:p>
    <w:p>
      <w:pPr>
        <w:adjustRightInd w:val="0"/>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1.不向招标人、招标代理机构及其他投标人行贿，串通一气搞假投标、陪标、围标、串标。</w:t>
      </w:r>
    </w:p>
    <w:p>
      <w:pPr>
        <w:adjustRightInd w:val="0"/>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2.不向评标专家行贿，以不正当手段谋取中标。</w:t>
      </w:r>
    </w:p>
    <w:p>
      <w:pPr>
        <w:adjustRightInd w:val="0"/>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3.不向招标投标监管人员请客、送礼及组织其它有可能影响客观公正监管的活动。</w:t>
      </w:r>
    </w:p>
    <w:p>
      <w:pPr>
        <w:adjustRightInd w:val="0"/>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4.不提供虚假材料谋取中标。在资格预审材料中，主动提供近两年信用档案情况，包括有无不良行为记录和公示期限证明。</w:t>
      </w:r>
    </w:p>
    <w:p>
      <w:pPr>
        <w:adjustRightInd w:val="0"/>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在本次投标过程中，本投标人将严格遵守各项廉政制度，如出现违反行为，本投标人自愿承担相关责任，接受招标投标监督管理部门、纪检监察机关或司法机关的调查处理。</w:t>
      </w:r>
    </w:p>
    <w:p>
      <w:pPr>
        <w:adjustRightInd w:val="0"/>
        <w:snapToGrid w:val="0"/>
        <w:spacing w:line="31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w:t>
      </w:r>
    </w:p>
    <w:p>
      <w:pPr>
        <w:wordWrap w:val="0"/>
        <w:snapToGrid w:val="0"/>
        <w:spacing w:line="480" w:lineRule="auto"/>
        <w:jc w:val="right"/>
        <w:rPr>
          <w:rFonts w:hint="eastAsia" w:ascii="宋体" w:hAnsi="宋体" w:eastAsia="宋体" w:cs="宋体"/>
          <w:szCs w:val="21"/>
          <w:highlight w:val="none"/>
        </w:rPr>
      </w:pPr>
      <w:r>
        <w:rPr>
          <w:rFonts w:hint="eastAsia" w:ascii="宋体" w:hAnsi="宋体" w:eastAsia="宋体" w:cs="宋体"/>
          <w:szCs w:val="21"/>
          <w:highlight w:val="none"/>
        </w:rPr>
        <w:t xml:space="preserve">投标人（盖章）：                      </w:t>
      </w:r>
    </w:p>
    <w:p>
      <w:pPr>
        <w:wordWrap w:val="0"/>
        <w:snapToGrid w:val="0"/>
        <w:spacing w:line="480" w:lineRule="auto"/>
        <w:jc w:val="right"/>
        <w:rPr>
          <w:rFonts w:hint="eastAsia" w:ascii="宋体" w:hAnsi="宋体" w:eastAsia="宋体" w:cs="宋体"/>
          <w:szCs w:val="21"/>
          <w:highlight w:val="none"/>
        </w:rPr>
      </w:pPr>
      <w:r>
        <w:rPr>
          <w:rFonts w:hint="eastAsia" w:ascii="宋体" w:hAnsi="宋体" w:eastAsia="宋体" w:cs="宋体"/>
          <w:szCs w:val="21"/>
          <w:highlight w:val="none"/>
        </w:rPr>
        <w:t>法定代表人或授权代表人（签字</w:t>
      </w:r>
      <w:r>
        <w:rPr>
          <w:rFonts w:hint="eastAsia" w:ascii="宋体" w:hAnsi="宋体" w:eastAsia="宋体" w:cs="宋体"/>
          <w:szCs w:val="21"/>
          <w:highlight w:val="none"/>
          <w:lang w:val="en-US" w:eastAsia="zh-CN"/>
        </w:rPr>
        <w:t>或盖章</w:t>
      </w:r>
      <w:r>
        <w:rPr>
          <w:rFonts w:hint="eastAsia" w:ascii="宋体" w:hAnsi="宋体" w:eastAsia="宋体" w:cs="宋体"/>
          <w:szCs w:val="21"/>
          <w:highlight w:val="none"/>
        </w:rPr>
        <w:t xml:space="preserve">）：                      </w:t>
      </w:r>
    </w:p>
    <w:p>
      <w:pPr>
        <w:adjustRightInd w:val="0"/>
        <w:snapToGrid w:val="0"/>
        <w:spacing w:line="312" w:lineRule="auto"/>
        <w:ind w:firstLine="6308" w:firstLineChars="3004"/>
        <w:rPr>
          <w:rFonts w:hint="eastAsia" w:ascii="宋体" w:hAnsi="宋体" w:cs="宋体"/>
          <w:color w:val="auto"/>
          <w:szCs w:val="21"/>
          <w:highlight w:val="none"/>
          <w:lang w:val="zh-CN"/>
        </w:rPr>
      </w:pPr>
      <w:r>
        <w:rPr>
          <w:rFonts w:hint="eastAsia" w:ascii="宋体" w:hAnsi="宋体" w:eastAsia="宋体" w:cs="宋体"/>
          <w:b w:val="0"/>
          <w:bCs w:val="0"/>
          <w:spacing w:val="0"/>
          <w:kern w:val="2"/>
          <w:sz w:val="21"/>
          <w:szCs w:val="21"/>
          <w:highlight w:val="none"/>
          <w:lang w:val="en-US" w:eastAsia="zh-CN" w:bidi="ar-SA"/>
        </w:rPr>
        <w:t xml:space="preserve">日  期： </w:t>
      </w:r>
      <w:r>
        <w:rPr>
          <w:rFonts w:hint="eastAsia" w:ascii="宋体" w:hAnsi="宋体" w:eastAsia="宋体" w:cs="宋体"/>
          <w:szCs w:val="21"/>
          <w:highlight w:val="none"/>
        </w:rPr>
        <w:t xml:space="preserve">      </w:t>
      </w:r>
    </w:p>
    <w:p>
      <w:pPr>
        <w:pStyle w:val="2"/>
        <w:spacing w:line="312" w:lineRule="auto"/>
        <w:rPr>
          <w:rFonts w:hint="eastAsia" w:ascii="宋体" w:hAnsi="宋体" w:eastAsia="宋体" w:cs="宋体"/>
          <w:color w:val="auto"/>
          <w:sz w:val="21"/>
          <w:szCs w:val="21"/>
          <w:highlight w:val="none"/>
          <w:lang w:val="zh-CN"/>
        </w:rPr>
      </w:pPr>
    </w:p>
    <w:p>
      <w:pPr>
        <w:autoSpaceDE w:val="0"/>
        <w:autoSpaceDN w:val="0"/>
        <w:adjustRightInd w:val="0"/>
        <w:spacing w:line="312" w:lineRule="auto"/>
        <w:jc w:val="center"/>
        <w:outlineLvl w:val="0"/>
        <w:rPr>
          <w:rFonts w:hint="eastAsia" w:ascii="宋体" w:hAnsi="宋体" w:cs="宋体"/>
          <w:b/>
          <w:bCs/>
          <w:color w:val="auto"/>
          <w:szCs w:val="21"/>
          <w:highlight w:val="none"/>
          <w:lang w:val="zh-CN"/>
        </w:rPr>
      </w:pPr>
    </w:p>
    <w:p>
      <w:pPr>
        <w:autoSpaceDE w:val="0"/>
        <w:autoSpaceDN w:val="0"/>
        <w:adjustRightInd w:val="0"/>
        <w:spacing w:line="312" w:lineRule="auto"/>
        <w:jc w:val="center"/>
        <w:outlineLvl w:val="0"/>
        <w:rPr>
          <w:rFonts w:hint="eastAsia" w:ascii="宋体" w:hAnsi="宋体" w:cs="宋体"/>
          <w:b/>
          <w:bCs/>
          <w:color w:val="auto"/>
          <w:szCs w:val="21"/>
          <w:highlight w:val="none"/>
          <w:lang w:val="zh-CN"/>
        </w:rPr>
      </w:pPr>
    </w:p>
    <w:p>
      <w:pPr>
        <w:autoSpaceDE w:val="0"/>
        <w:autoSpaceDN w:val="0"/>
        <w:adjustRightInd w:val="0"/>
        <w:spacing w:line="312" w:lineRule="auto"/>
        <w:jc w:val="center"/>
        <w:outlineLvl w:val="0"/>
        <w:rPr>
          <w:rFonts w:hint="eastAsia" w:ascii="宋体" w:hAnsi="宋体" w:cs="宋体"/>
          <w:b/>
          <w:bCs/>
          <w:color w:val="auto"/>
          <w:szCs w:val="21"/>
          <w:highlight w:val="none"/>
          <w:lang w:val="zh-CN"/>
        </w:rPr>
      </w:pPr>
    </w:p>
    <w:p>
      <w:pPr>
        <w:autoSpaceDE w:val="0"/>
        <w:autoSpaceDN w:val="0"/>
        <w:adjustRightInd w:val="0"/>
        <w:spacing w:line="312" w:lineRule="auto"/>
        <w:jc w:val="center"/>
        <w:outlineLvl w:val="0"/>
        <w:rPr>
          <w:rFonts w:hint="eastAsia" w:ascii="宋体" w:hAnsi="宋体" w:cs="宋体"/>
          <w:b/>
          <w:bCs/>
          <w:color w:val="auto"/>
          <w:szCs w:val="21"/>
          <w:highlight w:val="none"/>
          <w:lang w:val="zh-CN"/>
        </w:rPr>
      </w:pPr>
    </w:p>
    <w:p>
      <w:pPr>
        <w:autoSpaceDE w:val="0"/>
        <w:autoSpaceDN w:val="0"/>
        <w:adjustRightInd w:val="0"/>
        <w:spacing w:line="312" w:lineRule="auto"/>
        <w:jc w:val="center"/>
        <w:outlineLvl w:val="0"/>
        <w:rPr>
          <w:rFonts w:hint="eastAsia" w:ascii="宋体" w:hAnsi="宋体" w:cs="宋体"/>
          <w:b/>
          <w:bCs/>
          <w:color w:val="auto"/>
          <w:szCs w:val="21"/>
          <w:highlight w:val="none"/>
          <w:lang w:val="zh-CN"/>
        </w:rPr>
      </w:pPr>
    </w:p>
    <w:p>
      <w:pPr>
        <w:autoSpaceDE w:val="0"/>
        <w:autoSpaceDN w:val="0"/>
        <w:adjustRightInd w:val="0"/>
        <w:spacing w:line="312" w:lineRule="auto"/>
        <w:jc w:val="center"/>
        <w:outlineLvl w:val="0"/>
        <w:rPr>
          <w:rFonts w:hint="eastAsia" w:ascii="宋体" w:hAnsi="宋体" w:cs="宋体"/>
          <w:b/>
          <w:bCs/>
          <w:color w:val="auto"/>
          <w:szCs w:val="21"/>
          <w:highlight w:val="none"/>
          <w:lang w:val="zh-CN"/>
        </w:rPr>
      </w:pPr>
    </w:p>
    <w:p>
      <w:pPr>
        <w:autoSpaceDE w:val="0"/>
        <w:autoSpaceDN w:val="0"/>
        <w:adjustRightInd w:val="0"/>
        <w:spacing w:line="312" w:lineRule="auto"/>
        <w:jc w:val="center"/>
        <w:outlineLvl w:val="0"/>
        <w:rPr>
          <w:rFonts w:hint="eastAsia" w:ascii="宋体" w:hAnsi="宋体" w:cs="宋体"/>
          <w:b/>
          <w:bCs/>
          <w:color w:val="auto"/>
          <w:szCs w:val="21"/>
          <w:highlight w:val="none"/>
          <w:lang w:val="zh-CN"/>
        </w:rPr>
      </w:pPr>
    </w:p>
    <w:p>
      <w:pPr>
        <w:autoSpaceDE w:val="0"/>
        <w:autoSpaceDN w:val="0"/>
        <w:adjustRightInd w:val="0"/>
        <w:spacing w:line="312" w:lineRule="auto"/>
        <w:jc w:val="center"/>
        <w:outlineLvl w:val="0"/>
        <w:rPr>
          <w:rFonts w:hint="eastAsia" w:ascii="宋体" w:hAnsi="宋体" w:cs="宋体"/>
          <w:b/>
          <w:bCs/>
          <w:color w:val="auto"/>
          <w:szCs w:val="21"/>
          <w:highlight w:val="none"/>
          <w:lang w:val="zh-CN"/>
        </w:rPr>
      </w:pPr>
    </w:p>
    <w:p>
      <w:pPr>
        <w:autoSpaceDE w:val="0"/>
        <w:autoSpaceDN w:val="0"/>
        <w:adjustRightInd w:val="0"/>
        <w:spacing w:line="312" w:lineRule="auto"/>
        <w:jc w:val="center"/>
        <w:outlineLvl w:val="0"/>
        <w:rPr>
          <w:rFonts w:hint="eastAsia" w:ascii="宋体" w:hAnsi="宋体" w:cs="宋体"/>
          <w:b/>
          <w:bCs/>
          <w:color w:val="auto"/>
          <w:szCs w:val="21"/>
          <w:highlight w:val="none"/>
          <w:lang w:val="zh-CN"/>
        </w:rPr>
      </w:pPr>
    </w:p>
    <w:p>
      <w:pPr>
        <w:autoSpaceDE w:val="0"/>
        <w:autoSpaceDN w:val="0"/>
        <w:adjustRightInd w:val="0"/>
        <w:spacing w:line="312" w:lineRule="auto"/>
        <w:jc w:val="center"/>
        <w:outlineLvl w:val="0"/>
        <w:rPr>
          <w:rFonts w:hint="eastAsia" w:ascii="宋体" w:hAnsi="宋体" w:cs="宋体"/>
          <w:b/>
          <w:bCs/>
          <w:color w:val="auto"/>
          <w:szCs w:val="21"/>
          <w:highlight w:val="none"/>
          <w:lang w:val="zh-CN"/>
        </w:rPr>
      </w:pPr>
    </w:p>
    <w:p>
      <w:pPr>
        <w:autoSpaceDE w:val="0"/>
        <w:autoSpaceDN w:val="0"/>
        <w:adjustRightInd w:val="0"/>
        <w:spacing w:line="312" w:lineRule="auto"/>
        <w:jc w:val="center"/>
        <w:outlineLvl w:val="0"/>
        <w:rPr>
          <w:rFonts w:hint="eastAsia" w:ascii="宋体" w:hAnsi="宋体" w:cs="宋体"/>
          <w:b/>
          <w:bCs/>
          <w:color w:val="auto"/>
          <w:szCs w:val="21"/>
          <w:highlight w:val="none"/>
          <w:lang w:val="zh-CN"/>
        </w:rPr>
      </w:pPr>
    </w:p>
    <w:p>
      <w:pPr>
        <w:autoSpaceDE w:val="0"/>
        <w:autoSpaceDN w:val="0"/>
        <w:adjustRightInd w:val="0"/>
        <w:spacing w:line="312" w:lineRule="auto"/>
        <w:jc w:val="center"/>
        <w:outlineLvl w:val="0"/>
        <w:rPr>
          <w:rFonts w:hint="eastAsia" w:ascii="宋体" w:hAnsi="宋体" w:cs="宋体"/>
          <w:b/>
          <w:bCs/>
          <w:color w:val="auto"/>
          <w:szCs w:val="21"/>
          <w:highlight w:val="none"/>
          <w:lang w:val="zh-CN"/>
        </w:rPr>
      </w:pPr>
    </w:p>
    <w:p>
      <w:pPr>
        <w:pStyle w:val="2"/>
        <w:rPr>
          <w:rFonts w:hint="eastAsia"/>
          <w:highlight w:val="none"/>
          <w:lang w:val="zh-CN"/>
        </w:rPr>
      </w:pPr>
    </w:p>
    <w:p>
      <w:pPr>
        <w:pStyle w:val="32"/>
        <w:snapToGrid w:val="0"/>
        <w:spacing w:line="312" w:lineRule="auto"/>
        <w:jc w:val="center"/>
        <w:rPr>
          <w:rFonts w:hint="eastAsia" w:hAnsi="宋体" w:cs="宋体"/>
          <w:color w:val="auto"/>
          <w:szCs w:val="21"/>
          <w:highlight w:val="none"/>
          <w:lang w:val="zh-CN"/>
        </w:rPr>
      </w:pPr>
    </w:p>
    <w:p>
      <w:pPr>
        <w:rPr>
          <w:rFonts w:hint="eastAsia" w:hAnsi="宋体" w:cs="宋体"/>
          <w:color w:val="auto"/>
          <w:szCs w:val="21"/>
          <w:highlight w:val="none"/>
          <w:lang w:val="zh-CN"/>
        </w:rPr>
      </w:pPr>
    </w:p>
    <w:p>
      <w:pPr>
        <w:pStyle w:val="2"/>
        <w:rPr>
          <w:rFonts w:hint="eastAsia"/>
          <w:highlight w:val="none"/>
          <w:lang w:val="zh-CN"/>
        </w:rPr>
      </w:pPr>
    </w:p>
    <w:p>
      <w:pPr>
        <w:pStyle w:val="32"/>
        <w:snapToGrid w:val="0"/>
        <w:spacing w:line="312" w:lineRule="auto"/>
        <w:jc w:val="center"/>
        <w:rPr>
          <w:rFonts w:hint="eastAsia" w:hAnsi="宋体" w:cs="宋体"/>
          <w:color w:val="auto"/>
          <w:szCs w:val="21"/>
          <w:highlight w:val="none"/>
          <w:lang w:val="zh-CN"/>
        </w:rPr>
      </w:pPr>
    </w:p>
    <w:p>
      <w:pPr>
        <w:pStyle w:val="32"/>
        <w:snapToGrid w:val="0"/>
        <w:spacing w:line="312" w:lineRule="auto"/>
        <w:jc w:val="center"/>
        <w:rPr>
          <w:rFonts w:hint="eastAsia" w:hAnsi="宋体" w:cs="宋体"/>
          <w:color w:val="auto"/>
          <w:szCs w:val="21"/>
          <w:highlight w:val="none"/>
          <w:lang w:val="zh-CN"/>
        </w:rPr>
      </w:pPr>
    </w:p>
    <w:p>
      <w:pPr>
        <w:pStyle w:val="32"/>
        <w:snapToGrid w:val="0"/>
        <w:spacing w:line="312" w:lineRule="auto"/>
        <w:jc w:val="center"/>
        <w:rPr>
          <w:rFonts w:hint="eastAsia" w:hAnsi="宋体" w:cs="宋体"/>
          <w:color w:val="auto"/>
          <w:szCs w:val="21"/>
          <w:highlight w:val="none"/>
          <w:lang w:val="zh-CN"/>
        </w:rPr>
      </w:pPr>
    </w:p>
    <w:p>
      <w:pPr>
        <w:pStyle w:val="32"/>
        <w:snapToGrid w:val="0"/>
        <w:spacing w:line="312" w:lineRule="auto"/>
        <w:jc w:val="center"/>
        <w:rPr>
          <w:rFonts w:hint="eastAsia" w:hAnsi="宋体" w:cs="宋体"/>
          <w:color w:val="auto"/>
          <w:szCs w:val="21"/>
          <w:highlight w:val="none"/>
          <w:lang w:val="zh-CN"/>
        </w:rPr>
      </w:pPr>
    </w:p>
    <w:p>
      <w:pPr>
        <w:keepNext w:val="0"/>
        <w:keepLines w:val="0"/>
        <w:pageBreakBefore w:val="0"/>
        <w:widowControl w:val="0"/>
        <w:kinsoku/>
        <w:wordWrap/>
        <w:overflowPunct/>
        <w:topLinePunct w:val="0"/>
        <w:autoSpaceDE/>
        <w:autoSpaceDN/>
        <w:bidi w:val="0"/>
        <w:adjustRightInd/>
        <w:snapToGrid w:val="0"/>
        <w:spacing w:before="313" w:beforeLines="100" w:after="157" w:afterLines="50" w:line="312" w:lineRule="auto"/>
        <w:ind w:left="0" w:leftChars="0" w:right="0" w:rightChars="0" w:firstLine="0" w:firstLineChars="0"/>
        <w:jc w:val="center"/>
        <w:textAlignment w:val="auto"/>
        <w:outlineLvl w:val="0"/>
        <w:rPr>
          <w:rFonts w:hint="eastAsia" w:ascii="方正小标宋_GBK" w:hAnsi="方正小标宋_GBK" w:eastAsia="方正小标宋_GBK" w:cs="方正小标宋_GBK"/>
          <w:bCs/>
          <w:color w:val="000000"/>
          <w:szCs w:val="21"/>
          <w:highlight w:val="none"/>
        </w:rPr>
      </w:pPr>
      <w:r>
        <w:rPr>
          <w:rFonts w:hint="eastAsia" w:ascii="方正小标宋_GBK" w:hAnsi="方正小标宋_GBK" w:eastAsia="方正小标宋_GBK" w:cs="方正小标宋_GBK"/>
          <w:bCs/>
          <w:color w:val="000000"/>
          <w:szCs w:val="21"/>
          <w:highlight w:val="none"/>
          <w:lang w:val="zh-CN"/>
        </w:rPr>
        <w:t xml:space="preserve">第七章 </w:t>
      </w:r>
      <w:r>
        <w:rPr>
          <w:rFonts w:hint="eastAsia" w:ascii="方正小标宋_GBK" w:hAnsi="方正小标宋_GBK" w:eastAsia="方正小标宋_GBK" w:cs="方正小标宋_GBK"/>
          <w:bCs/>
          <w:color w:val="000000"/>
          <w:szCs w:val="21"/>
          <w:highlight w:val="none"/>
        </w:rPr>
        <w:t xml:space="preserve"> </w:t>
      </w:r>
      <w:r>
        <w:rPr>
          <w:rFonts w:hint="eastAsia" w:ascii="方正小标宋_GBK" w:hAnsi="方正小标宋_GBK" w:eastAsia="方正小标宋_GBK" w:cs="方正小标宋_GBK"/>
          <w:bCs/>
          <w:color w:val="000000"/>
          <w:szCs w:val="21"/>
          <w:highlight w:val="none"/>
          <w:lang w:val="zh-CN"/>
        </w:rPr>
        <w:t>政府采购政策功能相关说明</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一、小、微企业（含监狱企业、残疾人福利性单位）扶持政策说明</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1.文件依据</w:t>
      </w:r>
    </w:p>
    <w:p>
      <w:pPr>
        <w:spacing w:line="312" w:lineRule="auto"/>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w:t>
      </w:r>
      <w:r>
        <w:rPr>
          <w:rFonts w:hint="eastAsia" w:ascii="宋体" w:hAnsi="宋体" w:eastAsia="宋体" w:cs="宋体"/>
          <w:color w:val="auto"/>
          <w:sz w:val="21"/>
          <w:szCs w:val="21"/>
          <w:highlight w:val="none"/>
        </w:rPr>
        <w:t>关于印发《政府采购促进中小企业发展管理办法》（财库﹝2020﹞46 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（2）浙江省财政厅转发财政部工业和信息化部关于印发《政府采购促进中小企业发展暂行办法》的通知（浙财采监[2012]11号）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（3）浙江省省财政厅《关于开展政府采购供应商网上注册登记和诚信管理工作的通知》（浙财采监〔2010〕8号)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（4）《工业和信息化部、国家统计局、国家发展和改革委员会、财政部关于印发中小企业划型标准规定的通知》（工信部联企业[2011]300号）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（5）财</w:t>
      </w:r>
      <w:r>
        <w:rPr>
          <w:rFonts w:hint="eastAsia" w:ascii="宋体" w:hAnsi="宋体" w:eastAsia="宋体" w:cs="宋体"/>
          <w:color w:val="000000"/>
          <w:spacing w:val="-1"/>
          <w:szCs w:val="21"/>
          <w:highlight w:val="none"/>
        </w:rPr>
        <w:t>政部、司法部《关于政府采购支持监狱企业发展有关问题的通知》（财库〔2014〕68号）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（6）《财政部 民政部 中国残疾人联合会关于促进残疾人就业政府采购政策的通知》（财库〔2018〕141号）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2.享受小微企业价格折扣应具备的条件与价格折扣比例</w:t>
      </w:r>
    </w:p>
    <w:p>
      <w:pPr>
        <w:keepNext w:val="0"/>
        <w:keepLines w:val="0"/>
        <w:pageBreakBefore w:val="0"/>
        <w:kinsoku/>
        <w:overflowPunct/>
        <w:topLinePunct w:val="0"/>
        <w:bidi w:val="0"/>
        <w:spacing w:line="312" w:lineRule="auto"/>
        <w:ind w:left="420" w:left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（1）符合中小企业划分标准；</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（2）提供本企业制造的货物、承担的工程或者服务，或者提供其他中小企业制造的货物。本项所称货物不包括使用大型企业注册商标的货物。</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中小企业划分标准，是指国务院有关部门根据企业从业人员、营业收入、资产总额等指标制定的中小企业划型标准。</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小型、微型企业提供中型企业制造的货物的，视同为中型企业。</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（3）本项目对小型和微型企业产品的价格给予</w:t>
      </w:r>
      <w:r>
        <w:rPr>
          <w:rFonts w:hint="eastAsia" w:ascii="宋体" w:hAnsi="宋体" w:cs="宋体"/>
          <w:color w:val="000000"/>
          <w:szCs w:val="21"/>
          <w:highlight w:val="none"/>
          <w:lang w:val="en-US" w:eastAsia="zh-CN"/>
        </w:rPr>
        <w:t>2</w:t>
      </w:r>
      <w:r>
        <w:rPr>
          <w:rFonts w:hint="eastAsia" w:ascii="宋体" w:hAnsi="宋体" w:eastAsia="宋体" w:cs="宋体"/>
          <w:color w:val="000000"/>
          <w:szCs w:val="21"/>
          <w:highlight w:val="none"/>
          <w:lang w:val="en-US" w:eastAsia="zh-CN"/>
        </w:rPr>
        <w:t>0</w:t>
      </w:r>
      <w:r>
        <w:rPr>
          <w:rFonts w:hint="eastAsia" w:ascii="宋体" w:hAnsi="宋体" w:eastAsia="宋体" w:cs="宋体"/>
          <w:color w:val="000000"/>
          <w:szCs w:val="21"/>
          <w:highlight w:val="none"/>
        </w:rPr>
        <w:t>%的扣除，用扣除后的价格参与评审。</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3.享受小微企业价格折扣应提供以下证明材料（投标文件报价文件中，缺一不可）：</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（1）《小微企业声明函》（原件，加盖供应商公章，格式见附件1）。</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4.享受监狱企业价格折扣应提供以下证明材料（投标文件技术商务文件中，不提供的不享受价格折扣）：</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5.在政府</w:t>
      </w:r>
      <w:r>
        <w:rPr>
          <w:rFonts w:hint="eastAsia" w:ascii="宋体" w:hAnsi="宋体" w:eastAsia="宋体" w:cs="宋体"/>
          <w:color w:val="000000"/>
          <w:spacing w:val="-1"/>
          <w:szCs w:val="21"/>
          <w:highlight w:val="none"/>
        </w:rPr>
        <w:t>采购活动中，残疾人福利性单位视同小型、微型企业，享受评审中价格扣除政策。享受残疾人福利性单位价格折扣应提供以下证明材料（投标文件报价文件中，不提供的不享受价格折扣）：</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（1）残疾人福利性单位声明函；</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keepNext w:val="0"/>
        <w:keepLines w:val="0"/>
        <w:pageBreakBefore w:val="0"/>
        <w:kinsoku/>
        <w:overflowPunct/>
        <w:topLinePunct w:val="0"/>
        <w:bidi w:val="0"/>
        <w:spacing w:line="312" w:lineRule="auto"/>
        <w:textAlignment w:val="auto"/>
        <w:rPr>
          <w:rFonts w:hint="eastAsia" w:ascii="宋体" w:hAnsi="宋体" w:eastAsia="宋体" w:cs="宋体"/>
          <w:color w:val="000000"/>
          <w:szCs w:val="21"/>
          <w:highlight w:val="none"/>
        </w:rPr>
      </w:pPr>
    </w:p>
    <w:p>
      <w:pPr>
        <w:spacing w:line="312" w:lineRule="auto"/>
        <w:rPr>
          <w:rFonts w:hint="eastAsia" w:ascii="宋体" w:hAnsi="宋体" w:eastAsia="宋体" w:cs="宋体"/>
          <w:sz w:val="21"/>
          <w:szCs w:val="21"/>
          <w:highlight w:val="none"/>
        </w:rPr>
      </w:pPr>
    </w:p>
    <w:p>
      <w:pPr>
        <w:pStyle w:val="2"/>
        <w:rPr>
          <w:rFonts w:hint="eastAsia"/>
          <w:highlight w:val="none"/>
        </w:rPr>
      </w:pPr>
    </w:p>
    <w:p>
      <w:pPr>
        <w:rPr>
          <w:rFonts w:hint="eastAsia"/>
          <w:highlight w:val="none"/>
        </w:rPr>
      </w:pPr>
    </w:p>
    <w:p>
      <w:pPr>
        <w:pStyle w:val="303"/>
        <w:rPr>
          <w:rFonts w:hint="eastAsia" w:ascii="宋体" w:hAnsi="宋体" w:eastAsia="宋体" w:cs="宋体"/>
          <w:sz w:val="21"/>
          <w:szCs w:val="21"/>
          <w:highlight w:val="none"/>
        </w:rPr>
      </w:pPr>
    </w:p>
    <w:p>
      <w:pPr>
        <w:spacing w:line="312"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附件1：</w:t>
      </w:r>
    </w:p>
    <w:p>
      <w:pPr>
        <w:jc w:val="center"/>
        <w:rPr>
          <w:rFonts w:hint="eastAsia" w:ascii="宋体" w:hAnsi="宋体" w:eastAsia="宋体" w:cs="宋体"/>
          <w:b/>
          <w:bCs/>
          <w:color w:val="auto"/>
          <w:sz w:val="24"/>
          <w:szCs w:val="24"/>
          <w:highlight w:val="none"/>
        </w:rPr>
      </w:pPr>
      <w:bookmarkStart w:id="129" w:name="_Toc29144"/>
      <w:bookmarkStart w:id="130" w:name="_Toc8441"/>
      <w:bookmarkStart w:id="131" w:name="_Toc22203"/>
      <w:bookmarkStart w:id="132" w:name="_Toc28112"/>
      <w:r>
        <w:rPr>
          <w:rFonts w:hint="eastAsia" w:ascii="宋体" w:hAnsi="宋体" w:eastAsia="宋体" w:cs="宋体"/>
          <w:b/>
          <w:color w:val="auto"/>
          <w:sz w:val="21"/>
          <w:szCs w:val="21"/>
          <w:highlight w:val="none"/>
        </w:rPr>
        <w:t>（一）</w:t>
      </w:r>
      <w:r>
        <w:rPr>
          <w:rFonts w:hint="eastAsia" w:ascii="宋体" w:hAnsi="宋体" w:eastAsia="宋体" w:cs="宋体"/>
          <w:b/>
          <w:bCs/>
          <w:szCs w:val="21"/>
          <w:highlight w:val="none"/>
        </w:rPr>
        <w:t>中小企业声明函（工程、服务）</w:t>
      </w:r>
    </w:p>
    <w:p>
      <w:pPr>
        <w:jc w:val="center"/>
        <w:rPr>
          <w:rFonts w:hint="eastAsia" w:ascii="宋体" w:hAnsi="宋体" w:eastAsia="宋体" w:cs="宋体"/>
          <w:color w:val="auto"/>
          <w:sz w:val="24"/>
          <w:szCs w:val="24"/>
          <w:highlight w:val="none"/>
        </w:rPr>
      </w:pPr>
    </w:p>
    <w:p>
      <w:pPr>
        <w:widowControl/>
        <w:spacing w:before="100" w:beforeAutospacing="1" w:after="100" w:afterAutospacing="1" w:line="440" w:lineRule="atLeast"/>
        <w:ind w:firstLine="440" w:firstLineChars="200"/>
        <w:jc w:val="left"/>
        <w:rPr>
          <w:rFonts w:ascii="宋体" w:hAnsi="宋体" w:eastAsia="宋体"/>
          <w:b w:val="0"/>
          <w:color w:val="auto"/>
          <w:sz w:val="22"/>
          <w:szCs w:val="22"/>
          <w:highlight w:val="none"/>
        </w:rPr>
      </w:pPr>
      <w:r>
        <w:rPr>
          <w:rFonts w:hint="eastAsia" w:ascii="宋体" w:hAnsi="宋体" w:eastAsia="宋体"/>
          <w:b w:val="0"/>
          <w:color w:val="auto"/>
          <w:sz w:val="22"/>
          <w:szCs w:val="22"/>
          <w:highlight w:val="none"/>
        </w:rPr>
        <w:t>本公司（联合体）郑重声明，根据《政府采购促进中小企业发展管理办法》（财库﹝2020﹞46 号）的规定，本公司（联合体）参加</w:t>
      </w:r>
      <w:r>
        <w:rPr>
          <w:rFonts w:hint="eastAsia" w:ascii="宋体" w:hAnsi="宋体" w:eastAsia="宋体"/>
          <w:b w:val="0"/>
          <w:color w:val="auto"/>
          <w:sz w:val="22"/>
          <w:szCs w:val="22"/>
          <w:highlight w:val="none"/>
          <w:u w:val="single"/>
        </w:rPr>
        <w:t xml:space="preserve"> （单位名称）</w:t>
      </w:r>
      <w:r>
        <w:rPr>
          <w:rFonts w:hint="eastAsia" w:ascii="宋体" w:hAnsi="宋体" w:eastAsia="宋体"/>
          <w:b w:val="0"/>
          <w:color w:val="auto"/>
          <w:sz w:val="22"/>
          <w:szCs w:val="22"/>
          <w:highlight w:val="none"/>
        </w:rPr>
        <w:t xml:space="preserve"> 的 </w:t>
      </w:r>
      <w:r>
        <w:rPr>
          <w:rFonts w:hint="eastAsia" w:ascii="宋体" w:hAnsi="宋体" w:eastAsia="宋体"/>
          <w:b w:val="0"/>
          <w:color w:val="auto"/>
          <w:sz w:val="22"/>
          <w:szCs w:val="22"/>
          <w:highlight w:val="none"/>
          <w:u w:val="single"/>
        </w:rPr>
        <w:t>（项目名称）</w:t>
      </w:r>
      <w:r>
        <w:rPr>
          <w:rFonts w:hint="eastAsia" w:ascii="宋体" w:hAnsi="宋体" w:eastAsia="宋体"/>
          <w:b w:val="0"/>
          <w:color w:val="auto"/>
          <w:sz w:val="22"/>
          <w:szCs w:val="22"/>
          <w:highlight w:val="none"/>
        </w:rPr>
        <w:t xml:space="preserve"> 采购活动，工程的施工单位全部为符合政策要求的中小企业（或者：服务全部由符合政策要求的中小企业承接）。相关企业（含联合体中的中小企业、签订分包意向协议的中小企业）的具体情况如下：</w:t>
      </w:r>
    </w:p>
    <w:p>
      <w:pPr>
        <w:widowControl/>
        <w:spacing w:before="100" w:beforeAutospacing="1" w:after="100" w:afterAutospacing="1" w:line="440" w:lineRule="atLeast"/>
        <w:ind w:firstLine="440" w:firstLineChars="200"/>
        <w:jc w:val="left"/>
        <w:rPr>
          <w:rFonts w:ascii="宋体" w:hAnsi="宋体" w:eastAsia="宋体"/>
          <w:b w:val="0"/>
          <w:color w:val="auto"/>
          <w:sz w:val="22"/>
          <w:szCs w:val="22"/>
          <w:highlight w:val="none"/>
        </w:rPr>
      </w:pPr>
      <w:r>
        <w:rPr>
          <w:rFonts w:hint="eastAsia" w:ascii="宋体" w:hAnsi="宋体" w:eastAsia="宋体"/>
          <w:b w:val="0"/>
          <w:color w:val="auto"/>
          <w:sz w:val="22"/>
          <w:szCs w:val="22"/>
          <w:highlight w:val="none"/>
        </w:rPr>
        <w:t xml:space="preserve">1. </w:t>
      </w:r>
      <w:r>
        <w:rPr>
          <w:rFonts w:hint="eastAsia" w:ascii="宋体" w:hAnsi="宋体" w:eastAsia="宋体"/>
          <w:b w:val="0"/>
          <w:color w:val="auto"/>
          <w:sz w:val="22"/>
          <w:szCs w:val="22"/>
          <w:highlight w:val="none"/>
          <w:u w:val="single"/>
        </w:rPr>
        <w:t xml:space="preserve">（标的名称） </w:t>
      </w:r>
      <w:r>
        <w:rPr>
          <w:rFonts w:hint="eastAsia" w:ascii="宋体" w:hAnsi="宋体" w:eastAsia="宋体"/>
          <w:b w:val="0"/>
          <w:color w:val="auto"/>
          <w:sz w:val="22"/>
          <w:szCs w:val="22"/>
          <w:highlight w:val="none"/>
        </w:rPr>
        <w:t xml:space="preserve">，属于 </w:t>
      </w:r>
      <w:r>
        <w:rPr>
          <w:rFonts w:hint="eastAsia" w:ascii="宋体" w:hAnsi="宋体" w:eastAsia="宋体"/>
          <w:b w:val="0"/>
          <w:color w:val="auto"/>
          <w:sz w:val="22"/>
          <w:szCs w:val="22"/>
          <w:highlight w:val="none"/>
          <w:u w:val="single"/>
        </w:rPr>
        <w:t>（采购文件中明确的所属行业）</w:t>
      </w:r>
      <w:r>
        <w:rPr>
          <w:rFonts w:hint="eastAsia" w:ascii="宋体" w:hAnsi="宋体" w:eastAsia="宋体"/>
          <w:b w:val="0"/>
          <w:color w:val="auto"/>
          <w:sz w:val="22"/>
          <w:szCs w:val="22"/>
          <w:highlight w:val="none"/>
        </w:rPr>
        <w:t xml:space="preserve"> ；承建（承接）企业为 </w:t>
      </w:r>
      <w:r>
        <w:rPr>
          <w:rFonts w:hint="eastAsia" w:ascii="宋体" w:hAnsi="宋体" w:eastAsia="宋体"/>
          <w:b w:val="0"/>
          <w:color w:val="auto"/>
          <w:sz w:val="22"/>
          <w:szCs w:val="22"/>
          <w:highlight w:val="none"/>
          <w:u w:val="single"/>
        </w:rPr>
        <w:t xml:space="preserve">（企业名称） </w:t>
      </w:r>
      <w:r>
        <w:rPr>
          <w:rFonts w:hint="eastAsia" w:ascii="宋体" w:hAnsi="宋体" w:eastAsia="宋体"/>
          <w:b w:val="0"/>
          <w:color w:val="auto"/>
          <w:sz w:val="22"/>
          <w:szCs w:val="22"/>
          <w:highlight w:val="none"/>
        </w:rPr>
        <w:t>，从业人员</w:t>
      </w:r>
      <w:r>
        <w:rPr>
          <w:rFonts w:hint="eastAsia" w:ascii="宋体" w:hAnsi="宋体" w:eastAsia="宋体"/>
          <w:b w:val="0"/>
          <w:color w:val="auto"/>
          <w:sz w:val="22"/>
          <w:szCs w:val="22"/>
          <w:highlight w:val="none"/>
          <w:u w:val="single"/>
        </w:rPr>
        <w:t xml:space="preserve">        </w:t>
      </w:r>
      <w:r>
        <w:rPr>
          <w:rFonts w:hint="eastAsia" w:ascii="宋体" w:hAnsi="宋体" w:eastAsia="宋体"/>
          <w:b w:val="0"/>
          <w:color w:val="auto"/>
          <w:sz w:val="22"/>
          <w:szCs w:val="22"/>
          <w:highlight w:val="none"/>
        </w:rPr>
        <w:t>人，营业收入为</w:t>
      </w:r>
      <w:r>
        <w:rPr>
          <w:rFonts w:hint="eastAsia" w:ascii="宋体" w:hAnsi="宋体" w:eastAsia="宋体"/>
          <w:b w:val="0"/>
          <w:color w:val="auto"/>
          <w:sz w:val="22"/>
          <w:szCs w:val="22"/>
          <w:highlight w:val="none"/>
          <w:u w:val="single"/>
        </w:rPr>
        <w:t xml:space="preserve">        </w:t>
      </w:r>
      <w:r>
        <w:rPr>
          <w:rFonts w:hint="eastAsia" w:ascii="宋体" w:hAnsi="宋体" w:eastAsia="宋体"/>
          <w:b w:val="0"/>
          <w:color w:val="auto"/>
          <w:sz w:val="22"/>
          <w:szCs w:val="22"/>
          <w:highlight w:val="none"/>
        </w:rPr>
        <w:t>万元，资产总额为</w:t>
      </w:r>
      <w:r>
        <w:rPr>
          <w:rFonts w:hint="eastAsia" w:ascii="宋体" w:hAnsi="宋体" w:eastAsia="宋体"/>
          <w:b w:val="0"/>
          <w:color w:val="auto"/>
          <w:sz w:val="22"/>
          <w:szCs w:val="22"/>
          <w:highlight w:val="none"/>
          <w:u w:val="single"/>
        </w:rPr>
        <w:t xml:space="preserve">        </w:t>
      </w:r>
      <w:r>
        <w:rPr>
          <w:rFonts w:hint="eastAsia" w:ascii="宋体" w:hAnsi="宋体" w:eastAsia="宋体"/>
          <w:b w:val="0"/>
          <w:color w:val="auto"/>
          <w:sz w:val="22"/>
          <w:szCs w:val="22"/>
          <w:highlight w:val="none"/>
        </w:rPr>
        <w:t>万元 ，属于</w:t>
      </w:r>
      <w:r>
        <w:rPr>
          <w:rFonts w:hint="eastAsia" w:ascii="宋体" w:hAnsi="宋体" w:eastAsia="宋体"/>
          <w:b w:val="0"/>
          <w:color w:val="auto"/>
          <w:sz w:val="22"/>
          <w:szCs w:val="22"/>
          <w:highlight w:val="none"/>
          <w:u w:val="single"/>
        </w:rPr>
        <w:t xml:space="preserve"> （中型企业、小型企业、微型企业） </w:t>
      </w:r>
      <w:r>
        <w:rPr>
          <w:rFonts w:hint="eastAsia" w:ascii="宋体" w:hAnsi="宋体" w:eastAsia="宋体"/>
          <w:b w:val="0"/>
          <w:color w:val="auto"/>
          <w:sz w:val="22"/>
          <w:szCs w:val="22"/>
          <w:highlight w:val="none"/>
        </w:rPr>
        <w:t>；</w:t>
      </w:r>
    </w:p>
    <w:p>
      <w:pPr>
        <w:widowControl/>
        <w:spacing w:before="100" w:beforeAutospacing="1" w:after="100" w:afterAutospacing="1" w:line="440" w:lineRule="atLeast"/>
        <w:ind w:firstLine="440" w:firstLineChars="200"/>
        <w:jc w:val="left"/>
        <w:rPr>
          <w:rFonts w:ascii="宋体" w:hAnsi="宋体" w:eastAsia="宋体"/>
          <w:b w:val="0"/>
          <w:color w:val="auto"/>
          <w:sz w:val="22"/>
          <w:szCs w:val="22"/>
          <w:highlight w:val="none"/>
        </w:rPr>
      </w:pPr>
      <w:r>
        <w:rPr>
          <w:rFonts w:hint="eastAsia" w:ascii="宋体" w:hAnsi="宋体" w:eastAsia="宋体"/>
          <w:b w:val="0"/>
          <w:color w:val="auto"/>
          <w:sz w:val="22"/>
          <w:szCs w:val="22"/>
          <w:highlight w:val="none"/>
        </w:rPr>
        <w:t xml:space="preserve">2. </w:t>
      </w:r>
      <w:r>
        <w:rPr>
          <w:rFonts w:hint="eastAsia" w:ascii="宋体" w:hAnsi="宋体" w:eastAsia="宋体"/>
          <w:b w:val="0"/>
          <w:color w:val="auto"/>
          <w:sz w:val="22"/>
          <w:szCs w:val="22"/>
          <w:highlight w:val="none"/>
          <w:u w:val="single"/>
        </w:rPr>
        <w:t>（标的名称）</w:t>
      </w:r>
      <w:r>
        <w:rPr>
          <w:rFonts w:hint="eastAsia" w:ascii="宋体" w:hAnsi="宋体" w:eastAsia="宋体"/>
          <w:b w:val="0"/>
          <w:color w:val="auto"/>
          <w:sz w:val="22"/>
          <w:szCs w:val="22"/>
          <w:highlight w:val="none"/>
        </w:rPr>
        <w:t xml:space="preserve"> ，属于 </w:t>
      </w:r>
      <w:r>
        <w:rPr>
          <w:rFonts w:hint="eastAsia" w:ascii="宋体" w:hAnsi="宋体" w:eastAsia="宋体"/>
          <w:b w:val="0"/>
          <w:color w:val="auto"/>
          <w:sz w:val="22"/>
          <w:szCs w:val="22"/>
          <w:highlight w:val="none"/>
          <w:u w:val="single"/>
        </w:rPr>
        <w:t xml:space="preserve">（采购文件中明确的所属行业） </w:t>
      </w:r>
      <w:r>
        <w:rPr>
          <w:rFonts w:hint="eastAsia" w:ascii="宋体" w:hAnsi="宋体" w:eastAsia="宋体"/>
          <w:b w:val="0"/>
          <w:color w:val="auto"/>
          <w:sz w:val="22"/>
          <w:szCs w:val="22"/>
          <w:highlight w:val="none"/>
        </w:rPr>
        <w:t>；承建（承接）企业为</w:t>
      </w:r>
      <w:r>
        <w:rPr>
          <w:rFonts w:hint="eastAsia" w:ascii="宋体" w:hAnsi="宋体" w:eastAsia="宋体"/>
          <w:b w:val="0"/>
          <w:color w:val="auto"/>
          <w:sz w:val="22"/>
          <w:szCs w:val="22"/>
          <w:highlight w:val="none"/>
          <w:u w:val="single"/>
        </w:rPr>
        <w:t xml:space="preserve"> （企业名称）</w:t>
      </w:r>
      <w:r>
        <w:rPr>
          <w:rFonts w:hint="eastAsia" w:ascii="宋体" w:hAnsi="宋体" w:eastAsia="宋体"/>
          <w:b w:val="0"/>
          <w:color w:val="auto"/>
          <w:sz w:val="22"/>
          <w:szCs w:val="22"/>
          <w:highlight w:val="none"/>
        </w:rPr>
        <w:t xml:space="preserve"> ，从业人员</w:t>
      </w:r>
      <w:r>
        <w:rPr>
          <w:rFonts w:hint="eastAsia" w:ascii="宋体" w:hAnsi="宋体" w:eastAsia="宋体"/>
          <w:b w:val="0"/>
          <w:color w:val="auto"/>
          <w:sz w:val="22"/>
          <w:szCs w:val="22"/>
          <w:highlight w:val="none"/>
          <w:u w:val="single"/>
        </w:rPr>
        <w:t xml:space="preserve">        </w:t>
      </w:r>
      <w:r>
        <w:rPr>
          <w:rFonts w:hint="eastAsia" w:ascii="宋体" w:hAnsi="宋体" w:eastAsia="宋体"/>
          <w:b w:val="0"/>
          <w:color w:val="auto"/>
          <w:sz w:val="22"/>
          <w:szCs w:val="22"/>
          <w:highlight w:val="none"/>
        </w:rPr>
        <w:t>人，营业收入为</w:t>
      </w:r>
      <w:r>
        <w:rPr>
          <w:rFonts w:hint="eastAsia" w:ascii="宋体" w:hAnsi="宋体" w:eastAsia="宋体"/>
          <w:b w:val="0"/>
          <w:color w:val="auto"/>
          <w:sz w:val="22"/>
          <w:szCs w:val="22"/>
          <w:highlight w:val="none"/>
          <w:u w:val="single"/>
        </w:rPr>
        <w:t xml:space="preserve">        </w:t>
      </w:r>
      <w:r>
        <w:rPr>
          <w:rFonts w:hint="eastAsia" w:ascii="宋体" w:hAnsi="宋体" w:eastAsia="宋体"/>
          <w:b w:val="0"/>
          <w:color w:val="auto"/>
          <w:sz w:val="22"/>
          <w:szCs w:val="22"/>
          <w:highlight w:val="none"/>
        </w:rPr>
        <w:t>万元，资产总额为</w:t>
      </w:r>
      <w:r>
        <w:rPr>
          <w:rFonts w:hint="eastAsia" w:ascii="宋体" w:hAnsi="宋体" w:eastAsia="宋体"/>
          <w:b w:val="0"/>
          <w:color w:val="auto"/>
          <w:sz w:val="22"/>
          <w:szCs w:val="22"/>
          <w:highlight w:val="none"/>
          <w:u w:val="single"/>
        </w:rPr>
        <w:t xml:space="preserve">        </w:t>
      </w:r>
      <w:r>
        <w:rPr>
          <w:rFonts w:hint="eastAsia" w:ascii="宋体" w:hAnsi="宋体" w:eastAsia="宋体"/>
          <w:b w:val="0"/>
          <w:color w:val="auto"/>
          <w:sz w:val="22"/>
          <w:szCs w:val="22"/>
          <w:highlight w:val="none"/>
        </w:rPr>
        <w:t xml:space="preserve">万元，属于 </w:t>
      </w:r>
      <w:r>
        <w:rPr>
          <w:rFonts w:hint="eastAsia" w:ascii="宋体" w:hAnsi="宋体" w:eastAsia="宋体"/>
          <w:b w:val="0"/>
          <w:color w:val="auto"/>
          <w:sz w:val="22"/>
          <w:szCs w:val="22"/>
          <w:highlight w:val="none"/>
          <w:u w:val="single"/>
        </w:rPr>
        <w:t>（中型企业、小型企业、微型企业）</w:t>
      </w:r>
      <w:r>
        <w:rPr>
          <w:rFonts w:hint="eastAsia" w:ascii="宋体" w:hAnsi="宋体" w:eastAsia="宋体"/>
          <w:b w:val="0"/>
          <w:color w:val="auto"/>
          <w:sz w:val="22"/>
          <w:szCs w:val="22"/>
          <w:highlight w:val="none"/>
        </w:rPr>
        <w:t xml:space="preserve"> ；</w:t>
      </w:r>
    </w:p>
    <w:p>
      <w:pPr>
        <w:widowControl/>
        <w:spacing w:before="100" w:beforeAutospacing="1" w:after="100" w:afterAutospacing="1" w:line="440" w:lineRule="atLeast"/>
        <w:ind w:firstLine="440" w:firstLineChars="200"/>
        <w:jc w:val="left"/>
        <w:rPr>
          <w:rFonts w:ascii="宋体" w:hAnsi="宋体" w:eastAsia="宋体"/>
          <w:b w:val="0"/>
          <w:color w:val="auto"/>
          <w:sz w:val="22"/>
          <w:szCs w:val="22"/>
          <w:highlight w:val="none"/>
        </w:rPr>
      </w:pPr>
      <w:r>
        <w:rPr>
          <w:rFonts w:hint="eastAsia" w:ascii="宋体" w:hAnsi="宋体" w:eastAsia="宋体"/>
          <w:b w:val="0"/>
          <w:color w:val="auto"/>
          <w:sz w:val="22"/>
          <w:szCs w:val="22"/>
          <w:highlight w:val="none"/>
        </w:rPr>
        <w:t>……</w:t>
      </w:r>
    </w:p>
    <w:p>
      <w:pPr>
        <w:widowControl/>
        <w:spacing w:before="100" w:beforeAutospacing="1" w:after="100" w:afterAutospacing="1" w:line="440" w:lineRule="atLeast"/>
        <w:ind w:firstLine="440" w:firstLineChars="200"/>
        <w:jc w:val="left"/>
        <w:rPr>
          <w:rFonts w:ascii="宋体" w:hAnsi="宋体" w:eastAsia="宋体"/>
          <w:b w:val="0"/>
          <w:color w:val="auto"/>
          <w:sz w:val="22"/>
          <w:szCs w:val="22"/>
          <w:highlight w:val="none"/>
        </w:rPr>
      </w:pPr>
      <w:r>
        <w:rPr>
          <w:rFonts w:hint="eastAsia" w:ascii="宋体" w:hAnsi="宋体" w:eastAsia="宋体"/>
          <w:b w:val="0"/>
          <w:color w:val="auto"/>
          <w:sz w:val="22"/>
          <w:szCs w:val="22"/>
          <w:highlight w:val="none"/>
        </w:rPr>
        <w:t>以上企业，不属于大企业的分支机构，不存在控股股东为大企业的情形，也不存在与大企业的负责人为同一人的情形。</w:t>
      </w:r>
    </w:p>
    <w:p>
      <w:pPr>
        <w:widowControl/>
        <w:spacing w:before="100" w:beforeAutospacing="1" w:after="100" w:afterAutospacing="1" w:line="440" w:lineRule="atLeast"/>
        <w:ind w:firstLine="440" w:firstLineChars="200"/>
        <w:jc w:val="left"/>
        <w:rPr>
          <w:rFonts w:ascii="宋体" w:hAnsi="宋体" w:eastAsia="宋体"/>
          <w:b w:val="0"/>
          <w:color w:val="auto"/>
          <w:sz w:val="22"/>
          <w:szCs w:val="22"/>
          <w:highlight w:val="none"/>
        </w:rPr>
      </w:pPr>
      <w:r>
        <w:rPr>
          <w:rFonts w:hint="eastAsia" w:ascii="宋体" w:hAnsi="宋体" w:eastAsia="宋体"/>
          <w:b w:val="0"/>
          <w:color w:val="auto"/>
          <w:sz w:val="22"/>
          <w:szCs w:val="22"/>
          <w:highlight w:val="none"/>
        </w:rPr>
        <w:t>本企业对上述声明内容的真实性负责。如有虚假，将依法承担相应责任。</w:t>
      </w:r>
    </w:p>
    <w:p>
      <w:pPr>
        <w:widowControl/>
        <w:spacing w:before="100" w:beforeAutospacing="1" w:after="100" w:afterAutospacing="1" w:line="440" w:lineRule="atLeast"/>
        <w:ind w:firstLine="440" w:firstLineChars="200"/>
        <w:jc w:val="left"/>
        <w:rPr>
          <w:rFonts w:ascii="宋体" w:hAnsi="宋体" w:eastAsia="宋体"/>
          <w:b w:val="0"/>
          <w:color w:val="auto"/>
          <w:sz w:val="22"/>
          <w:szCs w:val="22"/>
          <w:highlight w:val="none"/>
        </w:rPr>
      </w:pPr>
      <w:r>
        <w:rPr>
          <w:rFonts w:hint="eastAsia" w:ascii="宋体" w:hAnsi="宋体" w:eastAsia="宋体"/>
          <w:b w:val="0"/>
          <w:color w:val="auto"/>
          <w:sz w:val="22"/>
          <w:szCs w:val="22"/>
          <w:highlight w:val="none"/>
        </w:rPr>
        <w:t>企业名称（盖章）：</w:t>
      </w:r>
    </w:p>
    <w:p>
      <w:pPr>
        <w:widowControl/>
        <w:spacing w:before="100" w:beforeAutospacing="1" w:after="100" w:afterAutospacing="1" w:line="440" w:lineRule="atLeast"/>
        <w:ind w:firstLine="440" w:firstLineChars="200"/>
        <w:jc w:val="left"/>
        <w:rPr>
          <w:rFonts w:ascii="宋体" w:hAnsi="宋体" w:eastAsia="宋体"/>
          <w:b w:val="0"/>
          <w:bCs w:val="0"/>
          <w:color w:val="auto"/>
          <w:sz w:val="22"/>
          <w:szCs w:val="22"/>
          <w:highlight w:val="none"/>
        </w:rPr>
      </w:pPr>
      <w:r>
        <w:rPr>
          <w:rFonts w:hint="eastAsia" w:ascii="宋体" w:hAnsi="宋体" w:eastAsia="宋体"/>
          <w:b w:val="0"/>
          <w:color w:val="auto"/>
          <w:sz w:val="22"/>
          <w:szCs w:val="22"/>
          <w:highlight w:val="none"/>
        </w:rPr>
        <w:t>日 期：</w:t>
      </w:r>
      <w:r>
        <w:rPr>
          <w:rFonts w:ascii="宋体" w:hAnsi="宋体" w:eastAsia="宋体"/>
          <w:b w:val="0"/>
          <w:color w:val="auto"/>
          <w:sz w:val="22"/>
          <w:szCs w:val="22"/>
          <w:highlight w:val="none"/>
        </w:rPr>
        <w:t>            </w:t>
      </w:r>
      <w:r>
        <w:rPr>
          <w:rFonts w:hint="eastAsia" w:ascii="宋体" w:hAnsi="宋体" w:eastAsia="宋体"/>
          <w:b w:val="0"/>
          <w:color w:val="auto"/>
          <w:sz w:val="22"/>
          <w:szCs w:val="22"/>
          <w:highlight w:val="none"/>
        </w:rPr>
        <w:t>　　　　　</w:t>
      </w:r>
    </w:p>
    <w:p>
      <w:pPr>
        <w:spacing w:line="440" w:lineRule="atLeast"/>
        <w:rPr>
          <w:rFonts w:ascii="宋体" w:hAnsi="宋体" w:eastAsia="宋体"/>
          <w:b w:val="0"/>
          <w:bCs w:val="0"/>
          <w:color w:val="auto"/>
          <w:sz w:val="22"/>
          <w:szCs w:val="22"/>
          <w:highlight w:val="none"/>
        </w:rPr>
      </w:pPr>
    </w:p>
    <w:p>
      <w:pPr>
        <w:widowControl/>
        <w:spacing w:before="100" w:beforeAutospacing="1" w:after="100" w:afterAutospacing="1" w:line="440" w:lineRule="atLeast"/>
        <w:jc w:val="left"/>
        <w:rPr>
          <w:rFonts w:ascii="宋体" w:hAnsi="宋体" w:eastAsia="宋体"/>
          <w:b w:val="0"/>
          <w:bCs w:val="0"/>
          <w:color w:val="auto"/>
          <w:sz w:val="22"/>
          <w:szCs w:val="22"/>
          <w:highlight w:val="none"/>
        </w:rPr>
      </w:pPr>
      <w:r>
        <w:rPr>
          <w:rFonts w:hint="eastAsia" w:ascii="宋体" w:hAnsi="宋体" w:eastAsia="宋体"/>
          <w:b w:val="0"/>
          <w:color w:val="auto"/>
          <w:sz w:val="22"/>
          <w:szCs w:val="22"/>
          <w:highlight w:val="none"/>
        </w:rPr>
        <w:t>注：1 从业人员、营业收入、资产总额填报上一年度数据，无上一年度数据的新成立企业可不填报。</w:t>
      </w:r>
    </w:p>
    <w:p>
      <w:pPr>
        <w:keepNext w:val="0"/>
        <w:keepLines w:val="0"/>
        <w:pageBreakBefore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auto"/>
          <w:sz w:val="21"/>
          <w:szCs w:val="21"/>
          <w:highlight w:val="none"/>
        </w:rPr>
      </w:pPr>
    </w:p>
    <w:bookmarkEnd w:id="129"/>
    <w:bookmarkEnd w:id="130"/>
    <w:bookmarkEnd w:id="131"/>
    <w:bookmarkEnd w:id="132"/>
    <w:p>
      <w:pPr>
        <w:keepNext w:val="0"/>
        <w:keepLines w:val="0"/>
        <w:pageBreakBefore w:val="0"/>
        <w:kinsoku/>
        <w:overflowPunct/>
        <w:topLinePunct w:val="0"/>
        <w:bidi w:val="0"/>
        <w:spacing w:line="312" w:lineRule="auto"/>
        <w:ind w:firstLine="420" w:firstLineChars="200"/>
        <w:textAlignment w:val="auto"/>
        <w:rPr>
          <w:rFonts w:hint="eastAsia" w:ascii="宋体" w:hAnsi="宋体" w:eastAsia="宋体" w:cs="宋体"/>
          <w:color w:val="000000"/>
          <w:szCs w:val="21"/>
          <w:highlight w:val="none"/>
        </w:rPr>
      </w:pPr>
    </w:p>
    <w:p>
      <w:pPr>
        <w:keepNext w:val="0"/>
        <w:keepLines w:val="0"/>
        <w:pageBreakBefore w:val="0"/>
        <w:kinsoku/>
        <w:overflowPunct/>
        <w:topLinePunct w:val="0"/>
        <w:bidi w:val="0"/>
        <w:spacing w:line="312" w:lineRule="auto"/>
        <w:textAlignment w:val="auto"/>
        <w:rPr>
          <w:rFonts w:hint="eastAsia" w:ascii="宋体" w:hAnsi="宋体" w:eastAsia="宋体" w:cs="宋体"/>
          <w:color w:val="000000"/>
          <w:szCs w:val="21"/>
          <w:highlight w:val="none"/>
        </w:rPr>
      </w:pPr>
    </w:p>
    <w:p>
      <w:pPr>
        <w:pStyle w:val="231"/>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pStyle w:val="231"/>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pStyle w:val="231"/>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napToGrid w:val="0"/>
        <w:spacing w:line="312" w:lineRule="auto"/>
        <w:jc w:val="center"/>
        <w:textAlignment w:val="auto"/>
        <w:outlineLvl w:val="0"/>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2  监狱和戒毒企业证明材料</w:t>
      </w:r>
    </w:p>
    <w:p>
      <w:pPr>
        <w:pStyle w:val="231"/>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zCs w:val="21"/>
          <w:highlight w:val="none"/>
          <w:lang w:val="en-GB"/>
        </w:rPr>
      </w:pP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监狱和戒毒企业参加投标时应提供由省级以上监狱管理局、戒毒管理局（含新疆生产建设兵团）出具的属于监狱企业的证明文件。</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000000"/>
          <w:szCs w:val="21"/>
          <w:highlight w:val="none"/>
        </w:rPr>
      </w:pP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000000"/>
          <w:szCs w:val="21"/>
          <w:highlight w:val="none"/>
        </w:rPr>
      </w:pPr>
    </w:p>
    <w:p>
      <w:pPr>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000000"/>
          <w:szCs w:val="21"/>
          <w:highlight w:val="none"/>
        </w:rPr>
      </w:pPr>
    </w:p>
    <w:p>
      <w:pPr>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color w:val="000000"/>
          <w:szCs w:val="21"/>
          <w:highlight w:val="none"/>
        </w:rPr>
      </w:pPr>
    </w:p>
    <w:p>
      <w:pPr>
        <w:keepNext w:val="0"/>
        <w:keepLines w:val="0"/>
        <w:pageBreakBefore w:val="0"/>
        <w:kinsoku/>
        <w:overflowPunct/>
        <w:topLinePunct w:val="0"/>
        <w:bidi w:val="0"/>
        <w:snapToGrid w:val="0"/>
        <w:spacing w:line="312" w:lineRule="auto"/>
        <w:jc w:val="center"/>
        <w:textAlignment w:val="auto"/>
        <w:rPr>
          <w:rFonts w:hint="eastAsia" w:ascii="宋体" w:hAnsi="宋体" w:eastAsia="宋体" w:cs="宋体"/>
          <w:bCs/>
          <w:color w:val="000000"/>
          <w:szCs w:val="21"/>
          <w:highlight w:val="none"/>
          <w:lang w:val="en-GB"/>
        </w:rPr>
      </w:pPr>
      <w:r>
        <w:rPr>
          <w:rFonts w:hint="eastAsia" w:ascii="宋体" w:hAnsi="宋体" w:eastAsia="宋体" w:cs="宋体"/>
          <w:bCs/>
          <w:color w:val="000000"/>
          <w:szCs w:val="21"/>
          <w:highlight w:val="none"/>
        </w:rPr>
        <w:t xml:space="preserve">3  </w:t>
      </w:r>
      <w:r>
        <w:rPr>
          <w:rFonts w:hint="eastAsia" w:ascii="宋体" w:hAnsi="宋体" w:eastAsia="宋体" w:cs="宋体"/>
          <w:bCs/>
          <w:color w:val="000000"/>
          <w:szCs w:val="21"/>
          <w:highlight w:val="none"/>
          <w:lang w:val="en-GB"/>
        </w:rPr>
        <w:t>产品适用</w:t>
      </w:r>
      <w:r>
        <w:rPr>
          <w:rFonts w:hint="eastAsia" w:ascii="宋体" w:hAnsi="宋体" w:eastAsia="宋体" w:cs="宋体"/>
          <w:bCs/>
          <w:color w:val="000000"/>
          <w:szCs w:val="21"/>
          <w:highlight w:val="none"/>
        </w:rPr>
        <w:t>监狱和戒毒企业</w:t>
      </w:r>
      <w:r>
        <w:rPr>
          <w:rFonts w:hint="eastAsia" w:ascii="宋体" w:hAnsi="宋体" w:eastAsia="宋体" w:cs="宋体"/>
          <w:bCs/>
          <w:color w:val="000000"/>
          <w:szCs w:val="21"/>
          <w:highlight w:val="none"/>
          <w:lang w:val="en-GB"/>
        </w:rPr>
        <w:t>政策情况表</w:t>
      </w:r>
    </w:p>
    <w:p>
      <w:pPr>
        <w:pStyle w:val="231"/>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zCs w:val="21"/>
          <w:highlight w:val="none"/>
          <w:lang w:val="en-GB"/>
        </w:rPr>
      </w:pPr>
    </w:p>
    <w:tbl>
      <w:tblPr>
        <w:tblStyle w:val="61"/>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576"/>
        <w:gridCol w:w="139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restart"/>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zCs w:val="21"/>
                <w:highlight w:val="none"/>
              </w:rPr>
              <w:t>监狱和戒毒企业</w:t>
            </w:r>
            <w:r>
              <w:rPr>
                <w:rFonts w:hint="eastAsia" w:ascii="宋体" w:hAnsi="宋体" w:eastAsia="宋体" w:cs="宋体"/>
                <w:color w:val="000000"/>
                <w:szCs w:val="21"/>
                <w:highlight w:val="none"/>
                <w:lang w:val="en-GB"/>
              </w:rPr>
              <w:t>扶持政策</w:t>
            </w:r>
          </w:p>
        </w:tc>
        <w:tc>
          <w:tcPr>
            <w:tcW w:w="5576"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zCs w:val="21"/>
                <w:highlight w:val="none"/>
                <w:lang w:val="en-GB"/>
              </w:rPr>
              <w:t>产品名称（品牌、型号）</w:t>
            </w:r>
          </w:p>
        </w:tc>
        <w:tc>
          <w:tcPr>
            <w:tcW w:w="1392"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zCs w:val="21"/>
                <w:highlight w:val="none"/>
                <w:lang w:val="en-GB"/>
              </w:rPr>
              <w:t>数量</w:t>
            </w:r>
          </w:p>
        </w:tc>
        <w:tc>
          <w:tcPr>
            <w:tcW w:w="1392"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5576"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1392" w:type="dxa"/>
            <w:noWrap w:val="0"/>
            <w:vAlign w:val="top"/>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1392"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5576"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1392" w:type="dxa"/>
            <w:noWrap w:val="0"/>
            <w:vAlign w:val="top"/>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1392"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5576"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1392" w:type="dxa"/>
            <w:noWrap w:val="0"/>
            <w:vAlign w:val="top"/>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1392"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6968" w:type="dxa"/>
            <w:gridSpan w:val="2"/>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zCs w:val="21"/>
                <w:highlight w:val="none"/>
              </w:rPr>
              <w:t>监狱和戒毒企业产品</w:t>
            </w:r>
            <w:r>
              <w:rPr>
                <w:rFonts w:hint="eastAsia" w:ascii="宋体" w:hAnsi="宋体" w:eastAsia="宋体" w:cs="宋体"/>
                <w:color w:val="000000"/>
                <w:szCs w:val="21"/>
                <w:highlight w:val="none"/>
                <w:lang w:val="en-GB"/>
              </w:rPr>
              <w:t>金额合计</w:t>
            </w:r>
          </w:p>
        </w:tc>
        <w:tc>
          <w:tcPr>
            <w:tcW w:w="1392"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r>
    </w:tbl>
    <w:p>
      <w:pPr>
        <w:pStyle w:val="231"/>
        <w:keepNext w:val="0"/>
        <w:keepLines w:val="0"/>
        <w:pageBreakBefore w:val="0"/>
        <w:kinsoku/>
        <w:overflowPunct/>
        <w:topLinePunct w:val="0"/>
        <w:bidi w:val="0"/>
        <w:spacing w:line="312" w:lineRule="auto"/>
        <w:ind w:left="718" w:hanging="718" w:hangingChars="342"/>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zCs w:val="21"/>
          <w:highlight w:val="none"/>
          <w:lang w:val="en-GB"/>
        </w:rPr>
        <w:t>填报要求：</w:t>
      </w:r>
    </w:p>
    <w:p>
      <w:pPr>
        <w:pStyle w:val="231"/>
        <w:keepNext w:val="0"/>
        <w:keepLines w:val="0"/>
        <w:pageBreakBefore w:val="0"/>
        <w:widowControl/>
        <w:kinsoku/>
        <w:overflowPunct/>
        <w:topLinePunct w:val="0"/>
        <w:bidi w:val="0"/>
        <w:spacing w:line="312" w:lineRule="auto"/>
        <w:ind w:right="84" w:rightChars="4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w:t>
      </w:r>
      <w:r>
        <w:rPr>
          <w:rFonts w:hint="eastAsia" w:ascii="宋体" w:hAnsi="宋体" w:eastAsia="宋体" w:cs="宋体"/>
          <w:color w:val="000000"/>
          <w:szCs w:val="21"/>
          <w:highlight w:val="none"/>
          <w:lang w:val="en-GB"/>
        </w:rPr>
        <w:t>本表的产品名称、规格型号和注册商标、金额要与《报价明细表》一致。</w:t>
      </w:r>
    </w:p>
    <w:p>
      <w:pPr>
        <w:pStyle w:val="231"/>
        <w:keepNext w:val="0"/>
        <w:keepLines w:val="0"/>
        <w:pageBreakBefore w:val="0"/>
        <w:widowControl/>
        <w:kinsoku/>
        <w:overflowPunct/>
        <w:topLinePunct w:val="0"/>
        <w:bidi w:val="0"/>
        <w:spacing w:line="312" w:lineRule="auto"/>
        <w:ind w:right="84" w:rightChars="40"/>
        <w:jc w:val="left"/>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zCs w:val="21"/>
          <w:highlight w:val="none"/>
        </w:rPr>
        <w:t>2.监</w:t>
      </w:r>
      <w:r>
        <w:rPr>
          <w:rFonts w:hint="eastAsia" w:ascii="宋体" w:hAnsi="宋体" w:eastAsia="宋体" w:cs="宋体"/>
          <w:color w:val="000000"/>
          <w:spacing w:val="-6"/>
          <w:szCs w:val="21"/>
          <w:highlight w:val="none"/>
        </w:rPr>
        <w:t>狱和戒毒企业投标且提供本企业制造的产品才能</w:t>
      </w:r>
      <w:r>
        <w:rPr>
          <w:rFonts w:hint="eastAsia" w:ascii="宋体" w:hAnsi="宋体" w:eastAsia="宋体" w:cs="宋体"/>
          <w:color w:val="000000"/>
          <w:spacing w:val="-6"/>
          <w:szCs w:val="21"/>
          <w:highlight w:val="none"/>
          <w:lang w:val="en-GB"/>
        </w:rPr>
        <w:t>享受商务报价里</w:t>
      </w:r>
      <w:r>
        <w:rPr>
          <w:rFonts w:hint="eastAsia" w:ascii="宋体" w:hAnsi="宋体" w:eastAsia="宋体" w:cs="宋体"/>
          <w:color w:val="000000"/>
          <w:spacing w:val="-6"/>
          <w:szCs w:val="21"/>
          <w:highlight w:val="none"/>
        </w:rPr>
        <w:t>监狱和戒毒企业</w:t>
      </w:r>
      <w:r>
        <w:rPr>
          <w:rFonts w:hint="eastAsia" w:ascii="宋体" w:hAnsi="宋体" w:eastAsia="宋体" w:cs="宋体"/>
          <w:color w:val="000000"/>
          <w:spacing w:val="-6"/>
          <w:szCs w:val="21"/>
          <w:highlight w:val="none"/>
          <w:lang w:val="en-GB"/>
        </w:rPr>
        <w:t>产品优惠政策。</w:t>
      </w:r>
    </w:p>
    <w:p>
      <w:pPr>
        <w:pStyle w:val="231"/>
        <w:keepNext w:val="0"/>
        <w:keepLines w:val="0"/>
        <w:pageBreakBefore w:val="0"/>
        <w:widowControl/>
        <w:kinsoku/>
        <w:overflowPunct/>
        <w:topLinePunct w:val="0"/>
        <w:bidi w:val="0"/>
        <w:spacing w:line="312" w:lineRule="auto"/>
        <w:ind w:right="84" w:rightChars="40"/>
        <w:jc w:val="left"/>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zCs w:val="21"/>
          <w:highlight w:val="none"/>
          <w:lang w:val="en-GB"/>
        </w:rPr>
        <w:t>3.本表内容不填写将不能享受商务报价里</w:t>
      </w:r>
      <w:r>
        <w:rPr>
          <w:rFonts w:hint="eastAsia" w:ascii="宋体" w:hAnsi="宋体" w:eastAsia="宋体" w:cs="宋体"/>
          <w:color w:val="000000"/>
          <w:szCs w:val="21"/>
          <w:highlight w:val="none"/>
        </w:rPr>
        <w:t>监狱和戒毒企业</w:t>
      </w:r>
      <w:r>
        <w:rPr>
          <w:rFonts w:hint="eastAsia" w:ascii="宋体" w:hAnsi="宋体" w:eastAsia="宋体" w:cs="宋体"/>
          <w:color w:val="000000"/>
          <w:szCs w:val="21"/>
          <w:highlight w:val="none"/>
          <w:lang w:val="en-GB"/>
        </w:rPr>
        <w:t>产品优惠政策。</w:t>
      </w:r>
    </w:p>
    <w:p>
      <w:pPr>
        <w:keepNext w:val="0"/>
        <w:keepLines w:val="0"/>
        <w:pageBreakBefore w:val="0"/>
        <w:kinsoku/>
        <w:overflowPunct/>
        <w:topLinePunct w:val="0"/>
        <w:bidi w:val="0"/>
        <w:spacing w:line="312" w:lineRule="auto"/>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napToGrid w:val="0"/>
        <w:spacing w:line="312" w:lineRule="auto"/>
        <w:jc w:val="center"/>
        <w:textAlignment w:val="auto"/>
        <w:outlineLvl w:val="0"/>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4  残疾人福利性单位声明函</w:t>
      </w:r>
    </w:p>
    <w:p>
      <w:pPr>
        <w:keepNext w:val="0"/>
        <w:keepLines w:val="0"/>
        <w:pageBreakBefore w:val="0"/>
        <w:kinsoku/>
        <w:overflowPunct/>
        <w:topLinePunct w:val="0"/>
        <w:bidi w:val="0"/>
        <w:spacing w:line="312" w:lineRule="auto"/>
        <w:textAlignment w:val="auto"/>
        <w:rPr>
          <w:rFonts w:hint="eastAsia" w:ascii="宋体" w:hAnsi="宋体" w:eastAsia="宋体" w:cs="宋体"/>
          <w:b/>
          <w:color w:val="000000"/>
          <w:spacing w:val="6"/>
          <w:szCs w:val="21"/>
          <w:highlight w:val="none"/>
        </w:rPr>
      </w:pP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000000"/>
          <w:szCs w:val="21"/>
          <w:highlight w:val="none"/>
          <w:u w:val="single"/>
          <w:lang w:val="en-US" w:eastAsia="zh-CN"/>
        </w:rPr>
        <w:t xml:space="preserve">      </w:t>
      </w:r>
      <w:r>
        <w:rPr>
          <w:rFonts w:hint="eastAsia" w:ascii="宋体" w:hAnsi="宋体" w:eastAsia="宋体" w:cs="宋体"/>
          <w:color w:val="000000"/>
          <w:szCs w:val="21"/>
          <w:highlight w:val="none"/>
        </w:rPr>
        <w:t>单位的</w:t>
      </w:r>
      <w:r>
        <w:rPr>
          <w:rFonts w:hint="eastAsia" w:ascii="宋体" w:hAnsi="宋体" w:eastAsia="宋体" w:cs="宋体"/>
          <w:color w:val="000000"/>
          <w:szCs w:val="21"/>
          <w:highlight w:val="none"/>
          <w:u w:val="single"/>
          <w:lang w:val="en-US" w:eastAsia="zh-CN"/>
        </w:rPr>
        <w:t xml:space="preserve">      </w:t>
      </w:r>
      <w:r>
        <w:rPr>
          <w:rFonts w:hint="eastAsia" w:ascii="宋体" w:hAnsi="宋体" w:eastAsia="宋体" w:cs="宋体"/>
          <w:color w:val="000000"/>
          <w:szCs w:val="21"/>
          <w:highlight w:val="none"/>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本单位对上述声明的真实性负责。如有虚假，将依法承担相应责任。</w:t>
      </w:r>
    </w:p>
    <w:p>
      <w:pPr>
        <w:keepNext w:val="0"/>
        <w:keepLines w:val="0"/>
        <w:pageBreakBefore w:val="0"/>
        <w:kinsoku/>
        <w:overflowPunct/>
        <w:topLinePunct w:val="0"/>
        <w:bidi w:val="0"/>
        <w:snapToGrid w:val="0"/>
        <w:spacing w:line="312" w:lineRule="auto"/>
        <w:ind w:firstLine="420" w:firstLineChars="200"/>
        <w:textAlignment w:val="auto"/>
        <w:rPr>
          <w:rFonts w:hint="eastAsia" w:ascii="宋体" w:hAnsi="宋体" w:eastAsia="宋体" w:cs="宋体"/>
          <w:color w:val="000000"/>
          <w:szCs w:val="21"/>
          <w:highlight w:val="none"/>
        </w:rPr>
      </w:pPr>
    </w:p>
    <w:p>
      <w:pPr>
        <w:keepNext w:val="0"/>
        <w:keepLines w:val="0"/>
        <w:pageBreakBefore w:val="0"/>
        <w:kinsoku/>
        <w:overflowPunct/>
        <w:topLinePunct w:val="0"/>
        <w:bidi w:val="0"/>
        <w:spacing w:line="312" w:lineRule="auto"/>
        <w:ind w:firstLine="444" w:firstLineChars="200"/>
        <w:textAlignment w:val="auto"/>
        <w:rPr>
          <w:rFonts w:hint="eastAsia" w:ascii="宋体" w:hAnsi="宋体" w:eastAsia="宋体" w:cs="宋体"/>
          <w:color w:val="000000"/>
          <w:spacing w:val="6"/>
          <w:szCs w:val="21"/>
          <w:highlight w:val="none"/>
        </w:rPr>
      </w:pPr>
    </w:p>
    <w:p>
      <w:pPr>
        <w:keepNext w:val="0"/>
        <w:keepLines w:val="0"/>
        <w:pageBreakBefore w:val="0"/>
        <w:kinsoku/>
        <w:wordWrap w:val="0"/>
        <w:overflowPunct/>
        <w:topLinePunct w:val="0"/>
        <w:bidi w:val="0"/>
        <w:snapToGrid w:val="0"/>
        <w:spacing w:line="312" w:lineRule="auto"/>
        <w:ind w:firstLine="420" w:firstLineChars="200"/>
        <w:jc w:val="righ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单位名称（盖章）：                     </w:t>
      </w:r>
    </w:p>
    <w:p>
      <w:pPr>
        <w:pStyle w:val="215"/>
        <w:keepNext w:val="0"/>
        <w:keepLines w:val="0"/>
        <w:pageBreakBefore w:val="0"/>
        <w:kinsoku/>
        <w:wordWrap w:val="0"/>
        <w:overflowPunct/>
        <w:topLinePunct w:val="0"/>
        <w:bidi w:val="0"/>
        <w:spacing w:line="312" w:lineRule="auto"/>
        <w:ind w:firstLine="0" w:firstLineChars="0"/>
        <w:jc w:val="righ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日  期：                     </w:t>
      </w:r>
    </w:p>
    <w:p>
      <w:pPr>
        <w:pStyle w:val="231"/>
        <w:keepNext w:val="0"/>
        <w:keepLines w:val="0"/>
        <w:pageBreakBefore w:val="0"/>
        <w:kinsoku/>
        <w:overflowPunct/>
        <w:topLinePunct w:val="0"/>
        <w:bidi w:val="0"/>
        <w:spacing w:line="312" w:lineRule="auto"/>
        <w:jc w:val="center"/>
        <w:textAlignment w:val="auto"/>
        <w:rPr>
          <w:rFonts w:hint="eastAsia" w:ascii="宋体" w:hAnsi="宋体" w:eastAsia="宋体" w:cs="宋体"/>
          <w:color w:val="000000"/>
          <w:szCs w:val="21"/>
          <w:highlight w:val="none"/>
        </w:rPr>
      </w:pPr>
    </w:p>
    <w:p>
      <w:pPr>
        <w:pStyle w:val="231"/>
        <w:keepNext w:val="0"/>
        <w:keepLines w:val="0"/>
        <w:pageBreakBefore w:val="0"/>
        <w:kinsoku/>
        <w:overflowPunct/>
        <w:topLinePunct w:val="0"/>
        <w:bidi w:val="0"/>
        <w:spacing w:line="312" w:lineRule="auto"/>
        <w:jc w:val="center"/>
        <w:textAlignment w:val="auto"/>
        <w:rPr>
          <w:rFonts w:hint="eastAsia" w:ascii="宋体" w:hAnsi="宋体" w:eastAsia="宋体" w:cs="宋体"/>
          <w:color w:val="000000"/>
          <w:szCs w:val="21"/>
          <w:highlight w:val="none"/>
        </w:rPr>
      </w:pPr>
    </w:p>
    <w:p>
      <w:pPr>
        <w:keepNext w:val="0"/>
        <w:keepLines w:val="0"/>
        <w:pageBreakBefore w:val="0"/>
        <w:tabs>
          <w:tab w:val="left" w:pos="4860"/>
        </w:tabs>
        <w:kinsoku/>
        <w:overflowPunct/>
        <w:topLinePunct w:val="0"/>
        <w:bidi w:val="0"/>
        <w:spacing w:line="312" w:lineRule="auto"/>
        <w:ind w:right="156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备注说明：</w:t>
      </w:r>
    </w:p>
    <w:p>
      <w:pPr>
        <w:keepNext w:val="0"/>
        <w:keepLines w:val="0"/>
        <w:pageBreakBefore w:val="0"/>
        <w:tabs>
          <w:tab w:val="left" w:pos="4860"/>
        </w:tabs>
        <w:kinsoku/>
        <w:overflowPunct/>
        <w:topLinePunct w:val="0"/>
        <w:bidi w:val="0"/>
        <w:spacing w:line="312" w:lineRule="auto"/>
        <w:ind w:right="156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1.如中标，将在中标公示中将此残疾人福利性单位声明函予以公示，接受社会监督；</w:t>
      </w:r>
    </w:p>
    <w:p>
      <w:pPr>
        <w:keepNext w:val="0"/>
        <w:keepLines w:val="0"/>
        <w:pageBreakBefore w:val="0"/>
        <w:tabs>
          <w:tab w:val="left" w:pos="4860"/>
        </w:tabs>
        <w:kinsoku/>
        <w:overflowPunct/>
        <w:topLinePunct w:val="0"/>
        <w:bidi w:val="0"/>
        <w:spacing w:line="312" w:lineRule="auto"/>
        <w:ind w:right="1560"/>
        <w:jc w:val="left"/>
        <w:textAlignment w:val="auto"/>
        <w:rPr>
          <w:rFonts w:hint="eastAsia" w:ascii="宋体" w:hAnsi="宋体" w:eastAsia="宋体" w:cs="宋体"/>
          <w:color w:val="000000"/>
          <w:spacing w:val="6"/>
          <w:szCs w:val="21"/>
          <w:highlight w:val="none"/>
        </w:rPr>
      </w:pPr>
      <w:r>
        <w:rPr>
          <w:rFonts w:hint="eastAsia" w:ascii="宋体" w:hAnsi="宋体" w:eastAsia="宋体" w:cs="宋体"/>
          <w:color w:val="000000"/>
          <w:szCs w:val="21"/>
          <w:highlight w:val="none"/>
        </w:rPr>
        <w:t>2.供应商提供的《残疾人福利性单位声明函》与事实不符的，依照《政府采购法》第七十七条第一款的规定追究法律责任。</w:t>
      </w:r>
    </w:p>
    <w:p>
      <w:pPr>
        <w:pStyle w:val="231"/>
        <w:keepNext w:val="0"/>
        <w:keepLines w:val="0"/>
        <w:pageBreakBefore w:val="0"/>
        <w:kinsoku/>
        <w:overflowPunct/>
        <w:topLinePunct w:val="0"/>
        <w:bidi w:val="0"/>
        <w:spacing w:line="312" w:lineRule="auto"/>
        <w:jc w:val="center"/>
        <w:textAlignment w:val="auto"/>
        <w:rPr>
          <w:rFonts w:hint="eastAsia" w:ascii="宋体" w:hAnsi="宋体" w:eastAsia="宋体" w:cs="宋体"/>
          <w:color w:val="000000"/>
          <w:szCs w:val="21"/>
          <w:highlight w:val="none"/>
        </w:rPr>
      </w:pPr>
    </w:p>
    <w:p>
      <w:pPr>
        <w:pStyle w:val="231"/>
        <w:keepNext w:val="0"/>
        <w:keepLines w:val="0"/>
        <w:pageBreakBefore w:val="0"/>
        <w:kinsoku/>
        <w:overflowPunct/>
        <w:topLinePunct w:val="0"/>
        <w:bidi w:val="0"/>
        <w:spacing w:line="312" w:lineRule="auto"/>
        <w:jc w:val="center"/>
        <w:textAlignment w:val="auto"/>
        <w:rPr>
          <w:rFonts w:hint="eastAsia" w:ascii="宋体" w:hAnsi="宋体" w:eastAsia="宋体" w:cs="宋体"/>
          <w:color w:val="000000"/>
          <w:szCs w:val="21"/>
          <w:highlight w:val="none"/>
        </w:rPr>
      </w:pPr>
    </w:p>
    <w:p>
      <w:pPr>
        <w:pStyle w:val="231"/>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lang w:val="en-GB"/>
        </w:rPr>
      </w:pPr>
      <w:r>
        <w:rPr>
          <w:rFonts w:hint="eastAsia" w:ascii="宋体" w:hAnsi="宋体" w:eastAsia="宋体" w:cs="宋体"/>
          <w:bCs/>
          <w:color w:val="000000"/>
          <w:szCs w:val="21"/>
          <w:highlight w:val="none"/>
        </w:rPr>
        <w:t xml:space="preserve">5  </w:t>
      </w:r>
      <w:r>
        <w:rPr>
          <w:rFonts w:hint="eastAsia" w:ascii="宋体" w:hAnsi="宋体" w:eastAsia="宋体" w:cs="宋体"/>
          <w:bCs/>
          <w:color w:val="000000"/>
          <w:szCs w:val="21"/>
          <w:highlight w:val="none"/>
          <w:lang w:val="en-GB"/>
        </w:rPr>
        <w:t>产品适用</w:t>
      </w:r>
      <w:r>
        <w:rPr>
          <w:rFonts w:hint="eastAsia" w:ascii="宋体" w:hAnsi="宋体" w:eastAsia="宋体" w:cs="宋体"/>
          <w:bCs/>
          <w:color w:val="000000"/>
          <w:szCs w:val="21"/>
          <w:highlight w:val="none"/>
        </w:rPr>
        <w:t>残疾人福利性单位</w:t>
      </w:r>
      <w:r>
        <w:rPr>
          <w:rFonts w:hint="eastAsia" w:ascii="宋体" w:hAnsi="宋体" w:eastAsia="宋体" w:cs="宋体"/>
          <w:bCs/>
          <w:color w:val="000000"/>
          <w:szCs w:val="21"/>
          <w:highlight w:val="none"/>
          <w:lang w:val="en-GB"/>
        </w:rPr>
        <w:t>政策情况表</w:t>
      </w:r>
    </w:p>
    <w:p>
      <w:pPr>
        <w:pStyle w:val="231"/>
        <w:keepNext w:val="0"/>
        <w:keepLines w:val="0"/>
        <w:pageBreakBefore w:val="0"/>
        <w:kinsoku/>
        <w:overflowPunct/>
        <w:topLinePunct w:val="0"/>
        <w:bidi w:val="0"/>
        <w:spacing w:line="312" w:lineRule="auto"/>
        <w:jc w:val="center"/>
        <w:textAlignment w:val="auto"/>
        <w:rPr>
          <w:rFonts w:hint="eastAsia" w:ascii="宋体" w:hAnsi="宋体" w:eastAsia="宋体" w:cs="宋体"/>
          <w:b/>
          <w:color w:val="000000"/>
          <w:szCs w:val="21"/>
          <w:highlight w:val="none"/>
          <w:lang w:val="en-GB"/>
        </w:rPr>
      </w:pPr>
    </w:p>
    <w:tbl>
      <w:tblPr>
        <w:tblStyle w:val="61"/>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576"/>
        <w:gridCol w:w="1392"/>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restart"/>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pacing w:val="6"/>
                <w:szCs w:val="21"/>
                <w:highlight w:val="none"/>
              </w:rPr>
              <w:t>残疾人福利性单位扶持政策</w:t>
            </w:r>
          </w:p>
        </w:tc>
        <w:tc>
          <w:tcPr>
            <w:tcW w:w="5576"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zCs w:val="21"/>
                <w:highlight w:val="none"/>
                <w:lang w:val="en-GB"/>
              </w:rPr>
              <w:t>产品名称（品牌、型号）</w:t>
            </w:r>
          </w:p>
        </w:tc>
        <w:tc>
          <w:tcPr>
            <w:tcW w:w="1392"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zCs w:val="21"/>
                <w:highlight w:val="none"/>
                <w:lang w:val="en-GB"/>
              </w:rPr>
              <w:t>数量</w:t>
            </w:r>
          </w:p>
        </w:tc>
        <w:tc>
          <w:tcPr>
            <w:tcW w:w="1392"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zCs w:val="21"/>
                <w:highlight w:val="none"/>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5576"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1392" w:type="dxa"/>
            <w:noWrap w:val="0"/>
            <w:vAlign w:val="top"/>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1392"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5576"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1392" w:type="dxa"/>
            <w:noWrap w:val="0"/>
            <w:vAlign w:val="top"/>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1392"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5576"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1392" w:type="dxa"/>
            <w:noWrap w:val="0"/>
            <w:vAlign w:val="top"/>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1392"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72" w:type="dxa"/>
            <w:vMerge w:val="continue"/>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c>
          <w:tcPr>
            <w:tcW w:w="6968" w:type="dxa"/>
            <w:gridSpan w:val="2"/>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pacing w:val="6"/>
                <w:szCs w:val="21"/>
                <w:highlight w:val="none"/>
              </w:rPr>
              <w:t>残疾人福利性单位</w:t>
            </w:r>
            <w:r>
              <w:rPr>
                <w:rFonts w:hint="eastAsia" w:ascii="宋体" w:hAnsi="宋体" w:eastAsia="宋体" w:cs="宋体"/>
                <w:color w:val="000000"/>
                <w:szCs w:val="21"/>
                <w:highlight w:val="none"/>
              </w:rPr>
              <w:t>产品</w:t>
            </w:r>
            <w:r>
              <w:rPr>
                <w:rFonts w:hint="eastAsia" w:ascii="宋体" w:hAnsi="宋体" w:eastAsia="宋体" w:cs="宋体"/>
                <w:color w:val="000000"/>
                <w:szCs w:val="21"/>
                <w:highlight w:val="none"/>
                <w:lang w:val="en-GB"/>
              </w:rPr>
              <w:t>金额合计</w:t>
            </w:r>
          </w:p>
        </w:tc>
        <w:tc>
          <w:tcPr>
            <w:tcW w:w="1392" w:type="dxa"/>
            <w:noWrap w:val="0"/>
            <w:vAlign w:val="center"/>
          </w:tcPr>
          <w:p>
            <w:pPr>
              <w:pStyle w:val="231"/>
              <w:keepNext w:val="0"/>
              <w:keepLines w:val="0"/>
              <w:pageBreakBefore w:val="0"/>
              <w:tabs>
                <w:tab w:val="left" w:pos="1260"/>
              </w:tabs>
              <w:kinsoku/>
              <w:overflowPunct/>
              <w:topLinePunct w:val="0"/>
              <w:bidi w:val="0"/>
              <w:spacing w:line="312" w:lineRule="auto"/>
              <w:jc w:val="center"/>
              <w:textAlignment w:val="auto"/>
              <w:rPr>
                <w:rFonts w:hint="eastAsia" w:ascii="宋体" w:hAnsi="宋体" w:eastAsia="宋体" w:cs="宋体"/>
                <w:color w:val="000000"/>
                <w:szCs w:val="21"/>
                <w:highlight w:val="none"/>
                <w:lang w:val="en-GB"/>
              </w:rPr>
            </w:pPr>
          </w:p>
        </w:tc>
      </w:tr>
    </w:tbl>
    <w:p>
      <w:pPr>
        <w:pStyle w:val="231"/>
        <w:keepNext w:val="0"/>
        <w:keepLines w:val="0"/>
        <w:pageBreakBefore w:val="0"/>
        <w:kinsoku/>
        <w:overflowPunct/>
        <w:topLinePunct w:val="0"/>
        <w:bidi w:val="0"/>
        <w:spacing w:line="312" w:lineRule="auto"/>
        <w:ind w:left="718" w:hanging="718" w:hangingChars="342"/>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zCs w:val="21"/>
          <w:highlight w:val="none"/>
          <w:lang w:val="en-GB"/>
        </w:rPr>
        <w:t>填报要求：</w:t>
      </w:r>
    </w:p>
    <w:p>
      <w:pPr>
        <w:pStyle w:val="231"/>
        <w:keepNext w:val="0"/>
        <w:keepLines w:val="0"/>
        <w:pageBreakBefore w:val="0"/>
        <w:widowControl/>
        <w:kinsoku/>
        <w:overflowPunct/>
        <w:topLinePunct w:val="0"/>
        <w:bidi w:val="0"/>
        <w:spacing w:line="312" w:lineRule="auto"/>
        <w:ind w:right="84" w:rightChars="40"/>
        <w:jc w:val="left"/>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zCs w:val="21"/>
          <w:highlight w:val="none"/>
          <w:lang w:val="en-GB"/>
        </w:rPr>
        <w:t>1.本表的产品名称、规格型号和注册商标、金额要与《报价明细表》一致。</w:t>
      </w:r>
    </w:p>
    <w:p>
      <w:pPr>
        <w:pStyle w:val="231"/>
        <w:keepNext w:val="0"/>
        <w:keepLines w:val="0"/>
        <w:pageBreakBefore w:val="0"/>
        <w:widowControl/>
        <w:kinsoku/>
        <w:overflowPunct/>
        <w:topLinePunct w:val="0"/>
        <w:bidi w:val="0"/>
        <w:spacing w:line="312" w:lineRule="auto"/>
        <w:ind w:right="84" w:rightChars="40"/>
        <w:jc w:val="left"/>
        <w:textAlignment w:val="auto"/>
        <w:rPr>
          <w:rFonts w:hint="eastAsia" w:ascii="宋体" w:hAnsi="宋体" w:eastAsia="宋体" w:cs="宋体"/>
          <w:color w:val="000000"/>
          <w:szCs w:val="21"/>
          <w:highlight w:val="none"/>
          <w:lang w:val="en-GB"/>
        </w:rPr>
      </w:pPr>
      <w:r>
        <w:rPr>
          <w:rFonts w:hint="eastAsia" w:ascii="宋体" w:hAnsi="宋体" w:eastAsia="宋体" w:cs="宋体"/>
          <w:color w:val="000000"/>
          <w:szCs w:val="21"/>
          <w:highlight w:val="none"/>
          <w:lang w:val="en-GB"/>
        </w:rPr>
        <w:t>2.本表内容不填写将不能享受商务报价里</w:t>
      </w:r>
      <w:r>
        <w:rPr>
          <w:rFonts w:hint="eastAsia" w:ascii="宋体" w:hAnsi="宋体" w:eastAsia="宋体" w:cs="宋体"/>
          <w:color w:val="000000"/>
          <w:spacing w:val="6"/>
          <w:szCs w:val="21"/>
          <w:highlight w:val="none"/>
        </w:rPr>
        <w:t>残疾人福利性单位</w:t>
      </w:r>
      <w:r>
        <w:rPr>
          <w:rFonts w:hint="eastAsia" w:ascii="宋体" w:hAnsi="宋体" w:eastAsia="宋体" w:cs="宋体"/>
          <w:color w:val="000000"/>
          <w:szCs w:val="21"/>
          <w:highlight w:val="none"/>
          <w:lang w:val="en-GB"/>
        </w:rPr>
        <w:t>产品优惠政策。</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p>
    <w:p>
      <w:pPr>
        <w:rPr>
          <w:rFonts w:hint="eastAsia"/>
          <w:highlight w:val="none"/>
        </w:rPr>
      </w:pPr>
    </w:p>
    <w:p>
      <w:pPr>
        <w:pStyle w:val="2"/>
        <w:rPr>
          <w:rFonts w:hint="eastAsia"/>
          <w:highlight w:val="none"/>
        </w:rPr>
      </w:pP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二、节能、环保产品优先（强制）采购政策说明</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（一）政策依据</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1.《国务院办公厅关于建立政府强制采购节能产品制度的通知》(国办发[2007]51号)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2.财政部、发展改革委发布的《节能产品政府采购实施意见》(财库[2004]185号)</w:t>
      </w:r>
    </w:p>
    <w:p>
      <w:pPr>
        <w:keepNext w:val="0"/>
        <w:keepLines w:val="0"/>
        <w:pageBreakBefore w:val="0"/>
        <w:kinsoku/>
        <w:overflowPunct/>
        <w:topLinePunct w:val="0"/>
        <w:bidi w:val="0"/>
        <w:spacing w:line="312"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3.财政部、原环保总局印发的《环境标志产品政府采购实施的意见》（财库[2006]90号）</w:t>
      </w:r>
    </w:p>
    <w:p>
      <w:pPr>
        <w:keepNext w:val="0"/>
        <w:keepLines w:val="0"/>
        <w:pageBreakBefore w:val="0"/>
        <w:kinsoku/>
        <w:overflowPunct/>
        <w:topLinePunct w:val="0"/>
        <w:bidi w:val="0"/>
        <w:spacing w:line="312"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（二）供应商投标货物属于节能、环保优先（强制）采购范围的，须提供相关证明材料，给予适当加分，但加分总值原则上不超过“价格分”的10%为宜。</w:t>
      </w:r>
    </w:p>
    <w:p>
      <w:pPr>
        <w:keepNext w:val="0"/>
        <w:keepLines w:val="0"/>
        <w:pageBreakBefore w:val="0"/>
        <w:kinsoku/>
        <w:overflowPunct/>
        <w:topLinePunct w:val="0"/>
        <w:bidi w:val="0"/>
        <w:spacing w:line="312" w:lineRule="auto"/>
        <w:textAlignment w:val="auto"/>
        <w:rPr>
          <w:rFonts w:hint="eastAsia" w:ascii="宋体" w:hAnsi="宋体" w:eastAsia="宋体" w:cs="宋体"/>
          <w:color w:val="000000"/>
          <w:szCs w:val="21"/>
          <w:highlight w:val="none"/>
        </w:rPr>
      </w:pPr>
    </w:p>
    <w:p>
      <w:pPr>
        <w:pStyle w:val="2"/>
        <w:keepNext w:val="0"/>
        <w:keepLines w:val="0"/>
        <w:pageBreakBefore w:val="0"/>
        <w:kinsoku/>
        <w:overflowPunct/>
        <w:topLinePunct w:val="0"/>
        <w:bidi w:val="0"/>
        <w:spacing w:line="312" w:lineRule="auto"/>
        <w:textAlignment w:val="auto"/>
        <w:rPr>
          <w:rFonts w:hint="eastAsia" w:ascii="宋体" w:hAnsi="宋体" w:eastAsia="宋体" w:cs="宋体"/>
          <w:color w:val="000000"/>
          <w:highlight w:val="none"/>
        </w:rPr>
      </w:pPr>
    </w:p>
    <w:p>
      <w:pPr>
        <w:pStyle w:val="215"/>
        <w:keepNext w:val="0"/>
        <w:keepLines w:val="0"/>
        <w:pageBreakBefore w:val="0"/>
        <w:kinsoku/>
        <w:overflowPunct/>
        <w:topLinePunct w:val="0"/>
        <w:bidi w:val="0"/>
        <w:spacing w:line="312" w:lineRule="auto"/>
        <w:ind w:firstLine="0" w:firstLineChars="0"/>
        <w:jc w:val="center"/>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节能环保产品清单</w:t>
      </w:r>
    </w:p>
    <w:p>
      <w:pPr>
        <w:pStyle w:val="201"/>
        <w:keepNext w:val="0"/>
        <w:keepLines w:val="0"/>
        <w:pageBreakBefore w:val="0"/>
        <w:kinsoku/>
        <w:overflowPunct/>
        <w:topLinePunct w:val="0"/>
        <w:bidi w:val="0"/>
        <w:spacing w:before="0" w:after="0" w:line="312" w:lineRule="auto"/>
        <w:jc w:val="both"/>
        <w:textAlignment w:val="auto"/>
        <w:outlineLvl w:val="9"/>
        <w:rPr>
          <w:rFonts w:hint="eastAsia" w:ascii="宋体" w:hAnsi="宋体" w:eastAsia="宋体" w:cs="宋体"/>
          <w:b w:val="0"/>
          <w:color w:val="000000"/>
          <w:sz w:val="21"/>
          <w:szCs w:val="21"/>
          <w:highlight w:val="none"/>
        </w:rPr>
      </w:pPr>
      <w:bookmarkStart w:id="133" w:name="_Toc3368"/>
      <w:r>
        <w:rPr>
          <w:rFonts w:hint="eastAsia" w:ascii="宋体" w:hAnsi="宋体" w:eastAsia="宋体" w:cs="宋体"/>
          <w:b w:val="0"/>
          <w:color w:val="000000"/>
          <w:sz w:val="21"/>
          <w:szCs w:val="21"/>
          <w:highlight w:val="none"/>
        </w:rPr>
        <w:t>项目名称：</w:t>
      </w:r>
      <w:bookmarkEnd w:id="133"/>
    </w:p>
    <w:p>
      <w:pPr>
        <w:pStyle w:val="201"/>
        <w:keepNext w:val="0"/>
        <w:keepLines w:val="0"/>
        <w:pageBreakBefore w:val="0"/>
        <w:kinsoku/>
        <w:overflowPunct/>
        <w:topLinePunct w:val="0"/>
        <w:bidi w:val="0"/>
        <w:spacing w:before="0" w:after="0" w:line="312" w:lineRule="auto"/>
        <w:jc w:val="both"/>
        <w:textAlignment w:val="auto"/>
        <w:outlineLvl w:val="9"/>
        <w:rPr>
          <w:rFonts w:hint="eastAsia" w:ascii="宋体" w:hAnsi="宋体" w:eastAsia="宋体" w:cs="宋体"/>
          <w:b w:val="0"/>
          <w:color w:val="000000"/>
          <w:sz w:val="21"/>
          <w:szCs w:val="21"/>
          <w:highlight w:val="none"/>
        </w:rPr>
      </w:pPr>
      <w:bookmarkStart w:id="134" w:name="_Toc1098"/>
      <w:r>
        <w:rPr>
          <w:rFonts w:hint="eastAsia" w:ascii="宋体" w:hAnsi="宋体" w:eastAsia="宋体" w:cs="宋体"/>
          <w:b w:val="0"/>
          <w:color w:val="000000"/>
          <w:sz w:val="21"/>
          <w:szCs w:val="21"/>
          <w:highlight w:val="none"/>
        </w:rPr>
        <w:t>项目编号：</w:t>
      </w:r>
      <w:bookmarkEnd w:id="134"/>
    </w:p>
    <w:tbl>
      <w:tblPr>
        <w:tblStyle w:val="61"/>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164"/>
        <w:gridCol w:w="3162"/>
        <w:gridCol w:w="2205"/>
        <w:gridCol w:w="1088"/>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9" w:type="dxa"/>
            <w:gridSpan w:val="6"/>
            <w:noWrap w:val="0"/>
            <w:vAlign w:val="center"/>
          </w:tcPr>
          <w:p>
            <w:pPr>
              <w:keepNext w:val="0"/>
              <w:keepLines w:val="0"/>
              <w:pageBreakBefore w:val="0"/>
              <w:kinsoku/>
              <w:overflowPunct/>
              <w:topLinePunct w:val="0"/>
              <w:bidi w:val="0"/>
              <w:spacing w:line="312" w:lineRule="auto"/>
              <w:jc w:val="left"/>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一、本次投标拟投入的节能产品说明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序号</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品牌</w:t>
            </w: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产品型号</w:t>
            </w: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认证证书编号</w:t>
            </w: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认证机构名称</w:t>
            </w: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2</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w:t>
            </w: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9" w:type="dxa"/>
            <w:gridSpan w:val="6"/>
            <w:noWrap w:val="0"/>
            <w:vAlign w:val="center"/>
          </w:tcPr>
          <w:p>
            <w:pPr>
              <w:keepNext w:val="0"/>
              <w:keepLines w:val="0"/>
              <w:pageBreakBefore w:val="0"/>
              <w:kinsoku/>
              <w:overflowPunct/>
              <w:topLinePunct w:val="0"/>
              <w:bidi w:val="0"/>
              <w:spacing w:line="312" w:lineRule="auto"/>
              <w:jc w:val="left"/>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二、本次投标拟投入的环保产品说明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序号</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品牌</w:t>
            </w: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产品名称、规格型号</w:t>
            </w: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认证证书编号</w:t>
            </w: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认证机构名称</w:t>
            </w: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2</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w:t>
            </w:r>
          </w:p>
        </w:tc>
        <w:tc>
          <w:tcPr>
            <w:tcW w:w="116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w:t>
            </w:r>
          </w:p>
        </w:tc>
        <w:tc>
          <w:tcPr>
            <w:tcW w:w="3162"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2205"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1088"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c>
          <w:tcPr>
            <w:tcW w:w="804" w:type="dxa"/>
            <w:noWrap w:val="0"/>
            <w:vAlign w:val="center"/>
          </w:tcPr>
          <w:p>
            <w:pPr>
              <w:keepNext w:val="0"/>
              <w:keepLines w:val="0"/>
              <w:pageBreakBefore w:val="0"/>
              <w:kinsoku/>
              <w:overflowPunct/>
              <w:topLinePunct w:val="0"/>
              <w:bidi w:val="0"/>
              <w:spacing w:line="312" w:lineRule="auto"/>
              <w:jc w:val="center"/>
              <w:textAlignment w:val="auto"/>
              <w:rPr>
                <w:rFonts w:hint="eastAsia" w:ascii="宋体" w:hAnsi="宋体" w:eastAsia="宋体" w:cs="宋体"/>
                <w:bCs/>
                <w:color w:val="000000"/>
                <w:szCs w:val="21"/>
                <w:highlight w:val="none"/>
              </w:rPr>
            </w:pPr>
          </w:p>
        </w:tc>
      </w:tr>
    </w:tbl>
    <w:p>
      <w:pPr>
        <w:keepNext w:val="0"/>
        <w:keepLines w:val="0"/>
        <w:pageBreakBefore w:val="0"/>
        <w:kinsoku/>
        <w:overflowPunct/>
        <w:topLinePunct w:val="0"/>
        <w:bidi w:val="0"/>
        <w:spacing w:line="312" w:lineRule="auto"/>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注：</w:t>
      </w:r>
    </w:p>
    <w:p>
      <w:pPr>
        <w:keepNext w:val="0"/>
        <w:keepLines w:val="0"/>
        <w:pageBreakBefore w:val="0"/>
        <w:kinsoku/>
        <w:overflowPunct/>
        <w:topLinePunct w:val="0"/>
        <w:bidi w:val="0"/>
        <w:spacing w:line="312" w:lineRule="auto"/>
        <w:ind w:firstLine="420" w:firstLineChars="200"/>
        <w:textAlignment w:val="auto"/>
        <w:rPr>
          <w:rFonts w:hint="eastAsia" w:ascii="宋体" w:hAnsi="宋体" w:eastAsia="宋体" w:cs="宋体"/>
          <w:bCs/>
          <w:color w:val="000000"/>
          <w:szCs w:val="21"/>
          <w:highlight w:val="none"/>
          <w:u w:val="none"/>
        </w:rPr>
      </w:pPr>
      <w:r>
        <w:rPr>
          <w:rFonts w:hint="eastAsia" w:ascii="宋体" w:hAnsi="宋体" w:eastAsia="宋体" w:cs="宋体"/>
          <w:bCs/>
          <w:color w:val="000000"/>
          <w:szCs w:val="21"/>
          <w:highlight w:val="none"/>
          <w:u w:val="none"/>
        </w:rPr>
        <w:t>1.节能产品和环保产品需附上拟投的产品的认证证书（以《市场监管总局关于发布参与实施政府采购节能产品、环境标志产品认证机构名录的公告》（2019年第16号）中所列认证机构出具）或在中国政府采购网（http://www.ccgp.gov.cn/jnhb/jnhbqd/）节能、环保清单查询结果截图；</w:t>
      </w:r>
    </w:p>
    <w:p>
      <w:pPr>
        <w:keepNext w:val="0"/>
        <w:keepLines w:val="0"/>
        <w:pageBreakBefore w:val="0"/>
        <w:kinsoku/>
        <w:overflowPunct/>
        <w:topLinePunct w:val="0"/>
        <w:bidi w:val="0"/>
        <w:spacing w:line="312" w:lineRule="auto"/>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2.投标时未提供本表格及附件截图，环保产品不得分。</w:t>
      </w:r>
    </w:p>
    <w:p>
      <w:pPr>
        <w:rPr>
          <w:rFonts w:hint="eastAsia" w:ascii="宋体" w:hAnsi="宋体" w:eastAsia="宋体" w:cs="宋体"/>
          <w:highlight w:val="none"/>
        </w:rPr>
      </w:pPr>
    </w:p>
    <w:p>
      <w:pPr>
        <w:spacing w:line="312" w:lineRule="auto"/>
        <w:ind w:firstLine="422" w:firstLineChars="200"/>
        <w:rPr>
          <w:rFonts w:hint="eastAsia" w:ascii="宋体" w:hAnsi="宋体" w:eastAsia="宋体" w:cs="宋体"/>
          <w:b/>
          <w:color w:val="auto"/>
          <w:szCs w:val="21"/>
          <w:highlight w:val="none"/>
        </w:rPr>
      </w:pPr>
    </w:p>
    <w:bookmarkEnd w:id="135"/>
    <w:sectPr>
      <w:headerReference r:id="rId11" w:type="first"/>
      <w:footerReference r:id="rId14" w:type="first"/>
      <w:headerReference r:id="rId9" w:type="default"/>
      <w:footerReference r:id="rId12" w:type="default"/>
      <w:headerReference r:id="rId10" w:type="even"/>
      <w:footerReference r:id="rId13" w:type="even"/>
      <w:pgSz w:w="11906" w:h="16838"/>
      <w:pgMar w:top="1440" w:right="1230" w:bottom="1440" w:left="1230"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PingFang SC">
    <w:altName w:val="Microsoft YaHei UI Light"/>
    <w:panose1 w:val="020B0400000000000000"/>
    <w:charset w:val="00"/>
    <w:family w:val="auto"/>
    <w:pitch w:val="default"/>
    <w:sig w:usb0="00000000" w:usb1="00000000" w:usb2="00000017" w:usb3="00000000" w:csb0="00040001" w:csb1="00000000"/>
  </w:font>
  <w:font w:name="Microsoft YaHei UI Light">
    <w:panose1 w:val="020B0502040204020203"/>
    <w:charset w:val="86"/>
    <w:family w:val="auto"/>
    <w:pitch w:val="default"/>
    <w:sig w:usb0="80000287" w:usb1="2ACF001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Univers">
    <w:altName w:val="Arial"/>
    <w:panose1 w:val="00000000000000000000"/>
    <w:charset w:val="00"/>
    <w:family w:val="swiss"/>
    <w:pitch w:val="default"/>
    <w:sig w:usb0="00000000" w:usb1="00000000" w:usb2="00000000" w:usb3="00000000" w:csb0="00000001" w:csb1="00000000"/>
  </w:font>
  <w:font w:name="Arial (W1)">
    <w:altName w:val="Times New Roman"/>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
    <w:altName w:val="Times New Roman"/>
    <w:panose1 w:val="00000000000000000000"/>
    <w:charset w:val="00"/>
    <w:family w:val="roman"/>
    <w:pitch w:val="default"/>
    <w:sig w:usb0="00000000" w:usb1="00000000" w:usb2="00000000" w:usb3="00000000" w:csb0="00000001" w:csb1="00000000"/>
  </w:font>
  <w:font w:name="FuturaA Bk BT">
    <w:altName w:val="Arial"/>
    <w:panose1 w:val="020B0502020204020303"/>
    <w:charset w:val="00"/>
    <w:family w:val="swiss"/>
    <w:pitch w:val="default"/>
    <w:sig w:usb0="00000000" w:usb1="00000000" w:usb2="00000000" w:usb3="00000000" w:csb0="0000001B"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Book Antiqua">
    <w:altName w:val="Segoe Print"/>
    <w:panose1 w:val="020406020503050303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68"/>
      </w:rPr>
    </w:pPr>
    <w:r>
      <w:fldChar w:fldCharType="begin"/>
    </w:r>
    <w:r>
      <w:rPr>
        <w:rStyle w:val="68"/>
      </w:rPr>
      <w:instrText xml:space="preserve">PAGE  </w:instrText>
    </w:r>
    <w:r>
      <w:fldChar w:fldCharType="end"/>
    </w:r>
  </w:p>
  <w:p>
    <w:pPr>
      <w:pStyle w:val="3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lear" w:pos="4153"/>
      </w:tabs>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tabs>
        <w:tab w:val="clear" w:pos="4153"/>
      </w:tabs>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9"/>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&#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OTTxsdIBAACjAwAADgAAAAAAAAABACAAAAAi&#10;AQAAZHJzL2Uyb0RvYy54bWxQSwUGAAAAAAYABgBZAQAAZgUAAAAA&#10;">
              <v:fill on="f" focussize="0,0"/>
              <v:stroke on="f" weight="1.25pt"/>
              <v:imagedata o:title=""/>
              <o:lock v:ext="edit" aspectratio="f"/>
              <v:textbox inset="0mm,0mm,0mm,0mm" style="mso-fit-shape-to-text:t;">
                <w:txbxContent>
                  <w:p>
                    <w:pPr>
                      <w:pStyle w:val="39"/>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9"/>
                            <w:rPr>
                              <w:rFonts w:hint="eastAsia"/>
                            </w:rPr>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fWkSz9IBAACjAwAADgAAAAAAAAABACAAAAAi&#10;AQAAZHJzL2Uyb0RvYy54bWxQSwUGAAAAAAYABgBZAQAAZgUAAAAA&#10;">
              <v:fill on="f" focussize="0,0"/>
              <v:stroke on="f" weight="1.25pt"/>
              <v:imagedata o:title=""/>
              <o:lock v:ext="edit" aspectratio="f"/>
              <v:textbox inset="0mm,0mm,0mm,0mm" style="mso-fit-shape-to-text:t;">
                <w:txbxContent>
                  <w:p>
                    <w:pPr>
                      <w:pStyle w:val="39"/>
                      <w:rPr>
                        <w:rFonts w:hint="eastAsia"/>
                      </w:rPr>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rPr>
        <w:rStyle w:val="68"/>
      </w:rPr>
    </w:pPr>
    <w:r>
      <w:fldChar w:fldCharType="begin"/>
    </w:r>
    <w:r>
      <w:rPr>
        <w:rStyle w:val="68"/>
      </w:rPr>
      <w:instrText xml:space="preserve">PAGE  </w:instrText>
    </w:r>
    <w:r>
      <w:fldChar w:fldCharType="separate"/>
    </w:r>
    <w:r>
      <w:rPr>
        <w:rStyle w:val="68"/>
      </w:rPr>
      <w:t>4</w:t>
    </w:r>
    <w:r>
      <w:fldChar w:fldCharType="end"/>
    </w:r>
  </w:p>
  <w:p>
    <w:pPr>
      <w:pStyle w:val="3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top w:val="none" w:color="auto" w:sz="0" w:space="0"/>
        <w:left w:val="none" w:color="auto" w:sz="0" w:space="0"/>
        <w:bottom w:val="single" w:color="auto" w:sz="4" w:space="1"/>
        <w:right w:val="none" w:color="auto" w:sz="0" w:space="0"/>
      </w:pBdr>
      <w:ind w:firstLine="360" w:firstLineChars="200"/>
      <w:jc w:val="left"/>
      <w:rPr>
        <w:rFonts w:hint="eastAsia"/>
        <w:szCs w:val="22"/>
        <w:lang w:val="en-US" w:eastAsia="zh-CN"/>
      </w:rPr>
    </w:pPr>
    <w:r>
      <w:rPr>
        <w:rFonts w:hint="eastAsia"/>
        <w:szCs w:val="22"/>
      </w:rPr>
      <w:drawing>
        <wp:anchor distT="0" distB="0" distL="114300" distR="114300" simplePos="0" relativeHeight="251661312" behindDoc="0" locked="0" layoutInCell="1" allowOverlap="1">
          <wp:simplePos x="0" y="0"/>
          <wp:positionH relativeFrom="column">
            <wp:posOffset>58420</wp:posOffset>
          </wp:positionH>
          <wp:positionV relativeFrom="paragraph">
            <wp:posOffset>-3810</wp:posOffset>
          </wp:positionV>
          <wp:extent cx="144145" cy="144145"/>
          <wp:effectExtent l="0" t="0" r="8255" b="8255"/>
          <wp:wrapSquare wrapText="bothSides"/>
          <wp:docPr id="4" name="图片 5" descr="院标（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院标（透明背景）"/>
                  <pic:cNvPicPr>
                    <a:picLocks noChangeAspect="1"/>
                  </pic:cNvPicPr>
                </pic:nvPicPr>
                <pic:blipFill>
                  <a:blip r:embed="rId1"/>
                  <a:stretch>
                    <a:fillRect/>
                  </a:stretch>
                </pic:blipFill>
                <pic:spPr>
                  <a:xfrm>
                    <a:off x="0" y="0"/>
                    <a:ext cx="144145" cy="144145"/>
                  </a:xfrm>
                  <a:prstGeom prst="rect">
                    <a:avLst/>
                  </a:prstGeom>
                  <a:noFill/>
                  <a:ln>
                    <a:noFill/>
                  </a:ln>
                </pic:spPr>
              </pic:pic>
            </a:graphicData>
          </a:graphic>
        </wp:anchor>
      </w:drawing>
    </w:r>
    <w:r>
      <w:rPr>
        <w:rFonts w:hint="eastAsia"/>
        <w:szCs w:val="22"/>
      </w:rPr>
      <w:t>衢州市第三医院</w:t>
    </w:r>
    <w:r>
      <w:rPr>
        <w:rFonts w:hint="eastAsia"/>
        <w:szCs w:val="22"/>
        <w:lang w:eastAsia="zh-CN"/>
      </w:rPr>
      <w:t>2022-2024年度食堂蔬菜（包括干货、豆制品、半成品食品）及水果配送采购项目</w:t>
    </w:r>
    <w:r>
      <w:rPr>
        <w:rFonts w:hint="eastAsia"/>
        <w:szCs w:val="22"/>
        <w:lang w:val="en-US" w:eastAsia="zh-CN"/>
      </w:rPr>
      <w:t xml:space="preserve">       </w:t>
    </w:r>
  </w:p>
  <w:p>
    <w:pPr>
      <w:pStyle w:val="40"/>
      <w:pBdr>
        <w:top w:val="none" w:color="auto" w:sz="0" w:space="0"/>
        <w:left w:val="none" w:color="auto" w:sz="0" w:space="0"/>
        <w:bottom w:val="single" w:color="auto" w:sz="4" w:space="1"/>
        <w:right w:val="none" w:color="auto" w:sz="0" w:space="0"/>
      </w:pBdr>
      <w:ind w:firstLine="360" w:firstLineChars="200"/>
      <w:jc w:val="left"/>
      <w:rPr>
        <w:rFonts w:hint="eastAsia" w:eastAsia="宋体"/>
        <w:lang w:eastAsia="zh-CN"/>
      </w:rPr>
    </w:pPr>
    <w:r>
      <w:rPr>
        <w:rFonts w:hint="eastAsia"/>
        <w:szCs w:val="22"/>
      </w:rPr>
      <w:t>项目编号：</w:t>
    </w:r>
    <w:r>
      <w:rPr>
        <w:rFonts w:hint="eastAsia"/>
        <w:szCs w:val="22"/>
        <w:lang w:eastAsia="zh-CN"/>
      </w:rPr>
      <w:t>ZJCT-Z20220097</w:t>
    </w:r>
    <w:r>
      <w:rPr>
        <w:rFonts w:hint="eastAsia"/>
        <w:szCs w:val="22"/>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41239F"/>
    <w:multiLevelType w:val="singleLevel"/>
    <w:tmpl w:val="E241239F"/>
    <w:lvl w:ilvl="0" w:tentative="0">
      <w:start w:val="3"/>
      <w:numFmt w:val="chineseCounting"/>
      <w:suff w:val="nothing"/>
      <w:lvlText w:val="%1、"/>
      <w:lvlJc w:val="left"/>
      <w:rPr>
        <w:rFonts w:hint="eastAsia"/>
      </w:rPr>
    </w:lvl>
  </w:abstractNum>
  <w:abstractNum w:abstractNumId="1">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2">
    <w:nsid w:val="0000000A"/>
    <w:multiLevelType w:val="multilevel"/>
    <w:tmpl w:val="0000000A"/>
    <w:lvl w:ilvl="0" w:tentative="0">
      <w:start w:val="1"/>
      <w:numFmt w:val="none"/>
      <w:pStyle w:val="210"/>
      <w:suff w:val="nothing"/>
      <w:lvlText w:val="%1"/>
      <w:lvlJc w:val="left"/>
      <w:pPr>
        <w:ind w:left="0" w:firstLine="0"/>
      </w:pPr>
    </w:lvl>
    <w:lvl w:ilvl="1" w:tentative="0">
      <w:start w:val="1"/>
      <w:numFmt w:val="decimal"/>
      <w:lvlText w:val="%1%2.0"/>
      <w:lvlJc w:val="left"/>
      <w:pPr>
        <w:tabs>
          <w:tab w:val="left" w:pos="576"/>
        </w:tabs>
        <w:ind w:left="576" w:hanging="576"/>
      </w:pPr>
    </w:lvl>
    <w:lvl w:ilvl="2" w:tentative="0">
      <w:start w:val="1"/>
      <w:numFmt w:val="decimal"/>
      <w:lvlText w:val="%1%2.%3"/>
      <w:lvlJc w:val="left"/>
      <w:pPr>
        <w:tabs>
          <w:tab w:val="left" w:pos="576"/>
        </w:tabs>
        <w:ind w:left="576" w:hanging="576"/>
      </w:pPr>
    </w:lvl>
    <w:lvl w:ilvl="3" w:tentative="0">
      <w:start w:val="1"/>
      <w:numFmt w:val="lowerLetter"/>
      <w:lvlText w:val="%1%4."/>
      <w:lvlJc w:val="left"/>
      <w:pPr>
        <w:tabs>
          <w:tab w:val="left" w:pos="720"/>
        </w:tabs>
        <w:ind w:left="360" w:hanging="360"/>
      </w:pPr>
    </w:lvl>
    <w:lvl w:ilvl="4" w:tentative="0">
      <w:start w:val="1"/>
      <w:numFmt w:val="decimal"/>
      <w:lvlText w:val="%5."/>
      <w:lvlJc w:val="left"/>
      <w:pPr>
        <w:tabs>
          <w:tab w:val="left" w:pos="720"/>
        </w:tabs>
        <w:ind w:left="720" w:hanging="360"/>
      </w:pPr>
    </w:lvl>
    <w:lvl w:ilvl="5" w:tentative="0">
      <w:start w:val="1"/>
      <w:numFmt w:val="lowerLetter"/>
      <w:lvlText w:val="%1(%6)"/>
      <w:lvlJc w:val="left"/>
      <w:pPr>
        <w:tabs>
          <w:tab w:val="left" w:pos="1440"/>
        </w:tabs>
        <w:ind w:left="720" w:firstLine="0"/>
      </w:pPr>
    </w:lvl>
    <w:lvl w:ilvl="6" w:tentative="0">
      <w:start w:val="1"/>
      <w:numFmt w:val="lowerRoman"/>
      <w:lvlText w:val="(%7)"/>
      <w:lvlJc w:val="left"/>
      <w:pPr>
        <w:tabs>
          <w:tab w:val="left" w:pos="1800"/>
        </w:tabs>
        <w:ind w:left="1440" w:hanging="360"/>
      </w:pPr>
    </w:lvl>
    <w:lvl w:ilvl="7" w:tentative="0">
      <w:start w:val="1"/>
      <w:numFmt w:val="decimal"/>
      <w:lvlText w:val="(%8)"/>
      <w:lvlJc w:val="left"/>
      <w:pPr>
        <w:tabs>
          <w:tab w:val="left" w:pos="1800"/>
        </w:tabs>
        <w:ind w:left="1800" w:hanging="360"/>
      </w:pPr>
    </w:lvl>
    <w:lvl w:ilvl="8" w:tentative="0">
      <w:start w:val="1"/>
      <w:numFmt w:val="lowerRoman"/>
      <w:lvlText w:val="(%9)"/>
      <w:lvlJc w:val="left"/>
      <w:pPr>
        <w:tabs>
          <w:tab w:val="left" w:pos="2520"/>
        </w:tabs>
        <w:ind w:left="2160" w:hanging="360"/>
      </w:pPr>
    </w:lvl>
  </w:abstractNum>
  <w:abstractNum w:abstractNumId="3">
    <w:nsid w:val="0000000B"/>
    <w:multiLevelType w:val="multilevel"/>
    <w:tmpl w:val="0000000B"/>
    <w:lvl w:ilvl="0" w:tentative="0">
      <w:start w:val="1"/>
      <w:numFmt w:val="bullet"/>
      <w:pStyle w:val="18"/>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0E"/>
    <w:multiLevelType w:val="multilevel"/>
    <w:tmpl w:val="0000000E"/>
    <w:lvl w:ilvl="0" w:tentative="0">
      <w:start w:val="1"/>
      <w:numFmt w:val="decimal"/>
      <w:lvlText w:val="2.%1."/>
      <w:lvlJc w:val="left"/>
      <w:pPr>
        <w:ind w:left="420" w:hanging="42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tentative="0">
      <w:start w:val="1"/>
      <w:numFmt w:val="lowerLetter"/>
      <w:lvlText w:val="%2)"/>
      <w:lvlJc w:val="left"/>
      <w:pPr>
        <w:ind w:left="840" w:hanging="420"/>
      </w:pPr>
    </w:lvl>
    <w:lvl w:ilvl="2" w:tentative="0">
      <w:start w:val="1"/>
      <w:numFmt w:val="lowerRoman"/>
      <w:pStyle w:val="29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5"/>
    <w:multiLevelType w:val="singleLevel"/>
    <w:tmpl w:val="00000015"/>
    <w:lvl w:ilvl="0" w:tentative="0">
      <w:start w:val="1"/>
      <w:numFmt w:val="decimal"/>
      <w:pStyle w:val="206"/>
      <w:lvlText w:val="%1．"/>
      <w:lvlJc w:val="left"/>
      <w:pPr>
        <w:tabs>
          <w:tab w:val="left" w:pos="360"/>
        </w:tabs>
        <w:ind w:left="245" w:hanging="245"/>
      </w:pPr>
      <w:rPr>
        <w:rFonts w:ascii="Times New Roman" w:hAnsi="Times New Roman" w:eastAsia="Times New Roman" w:cs="Times New Roman"/>
      </w:rPr>
    </w:lvl>
  </w:abstractNum>
  <w:abstractNum w:abstractNumId="6">
    <w:nsid w:val="00000016"/>
    <w:multiLevelType w:val="multilevel"/>
    <w:tmpl w:val="00000016"/>
    <w:lvl w:ilvl="0" w:tentative="0">
      <w:start w:val="1"/>
      <w:numFmt w:val="decimal"/>
      <w:pStyle w:val="266"/>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42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8"/>
    <w:multiLevelType w:val="multilevel"/>
    <w:tmpl w:val="00000018"/>
    <w:lvl w:ilvl="0" w:tentative="0">
      <w:start w:val="1"/>
      <w:numFmt w:val="bullet"/>
      <w:pStyle w:val="22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A"/>
    <w:multiLevelType w:val="multilevel"/>
    <w:tmpl w:val="0000001A"/>
    <w:lvl w:ilvl="0" w:tentative="0">
      <w:start w:val="1"/>
      <w:numFmt w:val="decimal"/>
      <w:pStyle w:val="207"/>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9">
    <w:nsid w:val="0000001B"/>
    <w:multiLevelType w:val="multilevel"/>
    <w:tmpl w:val="0000001B"/>
    <w:lvl w:ilvl="0" w:tentative="0">
      <w:start w:val="1"/>
      <w:numFmt w:val="lowerLetter"/>
      <w:lvlText w:val="%1."/>
      <w:lvlJc w:val="left"/>
      <w:pPr>
        <w:tabs>
          <w:tab w:val="left" w:pos="2304"/>
        </w:tabs>
        <w:ind w:left="2304" w:hanging="576"/>
      </w:pPr>
      <w:rPr>
        <w:rFonts w:hint="default"/>
      </w:rPr>
    </w:lvl>
    <w:lvl w:ilvl="1" w:tentative="0">
      <w:start w:val="1"/>
      <w:numFmt w:val="lowerLetter"/>
      <w:lvlText w:val="%2."/>
      <w:lvlJc w:val="left"/>
      <w:pPr>
        <w:tabs>
          <w:tab w:val="left" w:pos="1440"/>
        </w:tabs>
        <w:ind w:left="1440" w:hanging="360"/>
      </w:pPr>
    </w:lvl>
    <w:lvl w:ilvl="2" w:tentative="0">
      <w:start w:val="1"/>
      <w:numFmt w:val="lowerRoman"/>
      <w:pStyle w:val="271"/>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0000001D"/>
    <w:multiLevelType w:val="multilevel"/>
    <w:tmpl w:val="0000001D"/>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pStyle w:val="261"/>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1">
    <w:nsid w:val="02010656"/>
    <w:multiLevelType w:val="multilevel"/>
    <w:tmpl w:val="0201065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283"/>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AA728CC"/>
    <w:multiLevelType w:val="multilevel"/>
    <w:tmpl w:val="1AA728CC"/>
    <w:lvl w:ilvl="0" w:tentative="0">
      <w:start w:val="1"/>
      <w:numFmt w:val="lowerLetter"/>
      <w:pStyle w:val="6"/>
      <w:lvlText w:val="%1)"/>
      <w:lvlJc w:val="left"/>
      <w:pPr>
        <w:ind w:left="420" w:hanging="420"/>
      </w:pPr>
    </w:lvl>
    <w:lvl w:ilvl="1" w:tentative="0">
      <w:start w:val="1"/>
      <w:numFmt w:val="lowerLetter"/>
      <w:pStyle w:val="288"/>
      <w:lvlText w:val="%2)"/>
      <w:lvlJc w:val="left"/>
      <w:pPr>
        <w:ind w:left="840" w:hanging="420"/>
      </w:pPr>
    </w:lvl>
    <w:lvl w:ilvl="2" w:tentative="0">
      <w:start w:val="1"/>
      <w:numFmt w:val="lowerRoman"/>
      <w:pStyle w:val="188"/>
      <w:lvlText w:val="%3."/>
      <w:lvlJc w:val="right"/>
      <w:pPr>
        <w:ind w:left="1260" w:hanging="420"/>
      </w:pPr>
    </w:lvl>
    <w:lvl w:ilvl="3" w:tentative="0">
      <w:start w:val="1"/>
      <w:numFmt w:val="decimal"/>
      <w:pStyle w:val="289"/>
      <w:lvlText w:val="%4."/>
      <w:lvlJc w:val="left"/>
      <w:pPr>
        <w:ind w:left="1680" w:hanging="420"/>
      </w:pPr>
    </w:lvl>
    <w:lvl w:ilvl="4" w:tentative="0">
      <w:start w:val="1"/>
      <w:numFmt w:val="lowerLetter"/>
      <w:pStyle w:val="286"/>
      <w:lvlText w:val="%5)"/>
      <w:lvlJc w:val="left"/>
      <w:pPr>
        <w:ind w:left="2100" w:hanging="420"/>
      </w:pPr>
    </w:lvl>
    <w:lvl w:ilvl="5" w:tentative="0">
      <w:start w:val="1"/>
      <w:numFmt w:val="lowerRoman"/>
      <w:pStyle w:val="234"/>
      <w:lvlText w:val="%6."/>
      <w:lvlJc w:val="right"/>
      <w:pPr>
        <w:ind w:left="2520" w:hanging="420"/>
      </w:pPr>
    </w:lvl>
    <w:lvl w:ilvl="6" w:tentative="0">
      <w:start w:val="1"/>
      <w:numFmt w:val="decimal"/>
      <w:pStyle w:val="308"/>
      <w:lvlText w:val="%7."/>
      <w:lvlJc w:val="left"/>
      <w:pPr>
        <w:ind w:left="2940" w:hanging="420"/>
      </w:pPr>
    </w:lvl>
    <w:lvl w:ilvl="7" w:tentative="0">
      <w:start w:val="1"/>
      <w:numFmt w:val="lowerLetter"/>
      <w:pStyle w:val="222"/>
      <w:lvlText w:val="%8)"/>
      <w:lvlJc w:val="left"/>
      <w:pPr>
        <w:ind w:left="3360" w:hanging="420"/>
      </w:pPr>
    </w:lvl>
    <w:lvl w:ilvl="8" w:tentative="0">
      <w:start w:val="1"/>
      <w:numFmt w:val="lowerRoman"/>
      <w:pStyle w:val="221"/>
      <w:lvlText w:val="%9."/>
      <w:lvlJc w:val="right"/>
      <w:pPr>
        <w:ind w:left="3780" w:hanging="420"/>
      </w:pPr>
    </w:lvl>
  </w:abstractNum>
  <w:abstractNum w:abstractNumId="13">
    <w:nsid w:val="47F53821"/>
    <w:multiLevelType w:val="multilevel"/>
    <w:tmpl w:val="47F53821"/>
    <w:lvl w:ilvl="0" w:tentative="0">
      <w:start w:val="3"/>
      <w:numFmt w:val="chineseCountingThousand"/>
      <w:suff w:val="space"/>
      <w:lvlText w:val="%1"/>
      <w:lvlJc w:val="left"/>
      <w:pPr>
        <w:ind w:left="425" w:firstLine="142"/>
      </w:pPr>
      <w:rPr>
        <w:rFonts w:hint="eastAsia"/>
      </w:rPr>
    </w:lvl>
    <w:lvl w:ilvl="1" w:tentative="0">
      <w:start w:val="9"/>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2"/>
  </w:num>
  <w:num w:numId="2">
    <w:abstractNumId w:val="3"/>
  </w:num>
  <w:num w:numId="3">
    <w:abstractNumId w:val="1"/>
  </w:num>
  <w:num w:numId="4">
    <w:abstractNumId w:val="5"/>
  </w:num>
  <w:num w:numId="5">
    <w:abstractNumId w:val="8"/>
  </w:num>
  <w:num w:numId="6">
    <w:abstractNumId w:val="2"/>
  </w:num>
  <w:num w:numId="7">
    <w:abstractNumId w:val="7"/>
  </w:num>
  <w:num w:numId="8">
    <w:abstractNumId w:val="10"/>
  </w:num>
  <w:num w:numId="9">
    <w:abstractNumId w:val="6"/>
  </w:num>
  <w:num w:numId="10">
    <w:abstractNumId w:val="9"/>
  </w:num>
  <w:num w:numId="11">
    <w:abstractNumId w:val="11"/>
  </w:num>
  <w:num w:numId="12">
    <w:abstractNumId w:val="4"/>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NGU4NzNkYTc5NmNjMTA3OTk3NmU5MmU5YzVhZjMifQ=="/>
  </w:docVars>
  <w:rsids>
    <w:rsidRoot w:val="00172A27"/>
    <w:rsid w:val="00000480"/>
    <w:rsid w:val="00000B0F"/>
    <w:rsid w:val="00001100"/>
    <w:rsid w:val="00001368"/>
    <w:rsid w:val="000036B3"/>
    <w:rsid w:val="0000389F"/>
    <w:rsid w:val="00003D1C"/>
    <w:rsid w:val="00004169"/>
    <w:rsid w:val="000054AD"/>
    <w:rsid w:val="00005D4A"/>
    <w:rsid w:val="000064CA"/>
    <w:rsid w:val="00006B4E"/>
    <w:rsid w:val="00006DDD"/>
    <w:rsid w:val="0001028A"/>
    <w:rsid w:val="00010879"/>
    <w:rsid w:val="00010D30"/>
    <w:rsid w:val="00011304"/>
    <w:rsid w:val="00011513"/>
    <w:rsid w:val="00012E6D"/>
    <w:rsid w:val="000131CE"/>
    <w:rsid w:val="000141D1"/>
    <w:rsid w:val="00014EB6"/>
    <w:rsid w:val="00016FE2"/>
    <w:rsid w:val="00017108"/>
    <w:rsid w:val="000176A6"/>
    <w:rsid w:val="0002128C"/>
    <w:rsid w:val="0002175A"/>
    <w:rsid w:val="000222EA"/>
    <w:rsid w:val="00022DE4"/>
    <w:rsid w:val="00024466"/>
    <w:rsid w:val="000246E7"/>
    <w:rsid w:val="00024BCF"/>
    <w:rsid w:val="000252FD"/>
    <w:rsid w:val="000305AD"/>
    <w:rsid w:val="0003156F"/>
    <w:rsid w:val="00031F1F"/>
    <w:rsid w:val="0003300E"/>
    <w:rsid w:val="0003366D"/>
    <w:rsid w:val="00034259"/>
    <w:rsid w:val="0003452C"/>
    <w:rsid w:val="0003453C"/>
    <w:rsid w:val="000347E9"/>
    <w:rsid w:val="00034868"/>
    <w:rsid w:val="00035664"/>
    <w:rsid w:val="00035929"/>
    <w:rsid w:val="00035C9C"/>
    <w:rsid w:val="000373C0"/>
    <w:rsid w:val="0003776A"/>
    <w:rsid w:val="000408DB"/>
    <w:rsid w:val="00040A06"/>
    <w:rsid w:val="00040E34"/>
    <w:rsid w:val="00041816"/>
    <w:rsid w:val="00041957"/>
    <w:rsid w:val="000428FF"/>
    <w:rsid w:val="00042F3F"/>
    <w:rsid w:val="0004492E"/>
    <w:rsid w:val="00044EFC"/>
    <w:rsid w:val="000459C9"/>
    <w:rsid w:val="0004606F"/>
    <w:rsid w:val="0004706F"/>
    <w:rsid w:val="00050C1C"/>
    <w:rsid w:val="00051040"/>
    <w:rsid w:val="00052147"/>
    <w:rsid w:val="000523C3"/>
    <w:rsid w:val="00052D7A"/>
    <w:rsid w:val="00052ED3"/>
    <w:rsid w:val="000531E5"/>
    <w:rsid w:val="0005682D"/>
    <w:rsid w:val="0005708D"/>
    <w:rsid w:val="00060407"/>
    <w:rsid w:val="000611BF"/>
    <w:rsid w:val="0006128F"/>
    <w:rsid w:val="00061C30"/>
    <w:rsid w:val="00061D58"/>
    <w:rsid w:val="000643EB"/>
    <w:rsid w:val="00064813"/>
    <w:rsid w:val="00064CEF"/>
    <w:rsid w:val="0006566F"/>
    <w:rsid w:val="00065E3B"/>
    <w:rsid w:val="000661EC"/>
    <w:rsid w:val="00066A66"/>
    <w:rsid w:val="00066F33"/>
    <w:rsid w:val="000712A4"/>
    <w:rsid w:val="00071707"/>
    <w:rsid w:val="00071829"/>
    <w:rsid w:val="00071CFC"/>
    <w:rsid w:val="000720A2"/>
    <w:rsid w:val="00073189"/>
    <w:rsid w:val="00073511"/>
    <w:rsid w:val="00074009"/>
    <w:rsid w:val="0007419F"/>
    <w:rsid w:val="000742A8"/>
    <w:rsid w:val="000747D9"/>
    <w:rsid w:val="00075C0A"/>
    <w:rsid w:val="00076269"/>
    <w:rsid w:val="00076D6F"/>
    <w:rsid w:val="00077DC8"/>
    <w:rsid w:val="00080346"/>
    <w:rsid w:val="00080609"/>
    <w:rsid w:val="000808D4"/>
    <w:rsid w:val="0008105B"/>
    <w:rsid w:val="000813FA"/>
    <w:rsid w:val="00083823"/>
    <w:rsid w:val="00084757"/>
    <w:rsid w:val="00085157"/>
    <w:rsid w:val="00087119"/>
    <w:rsid w:val="0009020B"/>
    <w:rsid w:val="00090211"/>
    <w:rsid w:val="0009031B"/>
    <w:rsid w:val="00090365"/>
    <w:rsid w:val="0009122D"/>
    <w:rsid w:val="00092325"/>
    <w:rsid w:val="0009311F"/>
    <w:rsid w:val="00093407"/>
    <w:rsid w:val="00093559"/>
    <w:rsid w:val="00095AA3"/>
    <w:rsid w:val="00095C1E"/>
    <w:rsid w:val="00095EA6"/>
    <w:rsid w:val="000965A1"/>
    <w:rsid w:val="00096830"/>
    <w:rsid w:val="00096E93"/>
    <w:rsid w:val="00097275"/>
    <w:rsid w:val="0009788E"/>
    <w:rsid w:val="00097970"/>
    <w:rsid w:val="000A0B2B"/>
    <w:rsid w:val="000A1483"/>
    <w:rsid w:val="000A1A2A"/>
    <w:rsid w:val="000A403E"/>
    <w:rsid w:val="000A4D54"/>
    <w:rsid w:val="000A4DFB"/>
    <w:rsid w:val="000A5789"/>
    <w:rsid w:val="000A6D87"/>
    <w:rsid w:val="000A6ECD"/>
    <w:rsid w:val="000A7298"/>
    <w:rsid w:val="000B07C6"/>
    <w:rsid w:val="000B0802"/>
    <w:rsid w:val="000B083C"/>
    <w:rsid w:val="000B0FB4"/>
    <w:rsid w:val="000B118B"/>
    <w:rsid w:val="000B198C"/>
    <w:rsid w:val="000B238C"/>
    <w:rsid w:val="000B2E81"/>
    <w:rsid w:val="000B5EB6"/>
    <w:rsid w:val="000B65FD"/>
    <w:rsid w:val="000C01F7"/>
    <w:rsid w:val="000C0902"/>
    <w:rsid w:val="000C169E"/>
    <w:rsid w:val="000C26AE"/>
    <w:rsid w:val="000C399D"/>
    <w:rsid w:val="000C4529"/>
    <w:rsid w:val="000C69BF"/>
    <w:rsid w:val="000C7F0D"/>
    <w:rsid w:val="000D03A1"/>
    <w:rsid w:val="000D0627"/>
    <w:rsid w:val="000D07C3"/>
    <w:rsid w:val="000D1A1A"/>
    <w:rsid w:val="000D1F1D"/>
    <w:rsid w:val="000D246A"/>
    <w:rsid w:val="000D28D5"/>
    <w:rsid w:val="000D41DF"/>
    <w:rsid w:val="000D490F"/>
    <w:rsid w:val="000D4B1F"/>
    <w:rsid w:val="000D4B48"/>
    <w:rsid w:val="000D55DC"/>
    <w:rsid w:val="000D5ACD"/>
    <w:rsid w:val="000D72E2"/>
    <w:rsid w:val="000E12CA"/>
    <w:rsid w:val="000E1767"/>
    <w:rsid w:val="000E269B"/>
    <w:rsid w:val="000E589F"/>
    <w:rsid w:val="000E61C3"/>
    <w:rsid w:val="000E7DC4"/>
    <w:rsid w:val="000E7E59"/>
    <w:rsid w:val="000E7EF6"/>
    <w:rsid w:val="000F1225"/>
    <w:rsid w:val="000F146A"/>
    <w:rsid w:val="000F15F7"/>
    <w:rsid w:val="000F1670"/>
    <w:rsid w:val="000F1C8B"/>
    <w:rsid w:val="000F326C"/>
    <w:rsid w:val="000F37AA"/>
    <w:rsid w:val="000F3D25"/>
    <w:rsid w:val="000F441D"/>
    <w:rsid w:val="000F6BE1"/>
    <w:rsid w:val="0010006B"/>
    <w:rsid w:val="00100DD3"/>
    <w:rsid w:val="001011F6"/>
    <w:rsid w:val="00101E2C"/>
    <w:rsid w:val="00101F54"/>
    <w:rsid w:val="00102D4D"/>
    <w:rsid w:val="00103527"/>
    <w:rsid w:val="0010377B"/>
    <w:rsid w:val="00103EF4"/>
    <w:rsid w:val="00105E66"/>
    <w:rsid w:val="00105EE8"/>
    <w:rsid w:val="00106007"/>
    <w:rsid w:val="00106747"/>
    <w:rsid w:val="00106A4E"/>
    <w:rsid w:val="0010744B"/>
    <w:rsid w:val="001076D4"/>
    <w:rsid w:val="001078EC"/>
    <w:rsid w:val="00107E1B"/>
    <w:rsid w:val="0011067A"/>
    <w:rsid w:val="00110ADC"/>
    <w:rsid w:val="00111C61"/>
    <w:rsid w:val="001124A2"/>
    <w:rsid w:val="00112A8F"/>
    <w:rsid w:val="0011329A"/>
    <w:rsid w:val="0011373C"/>
    <w:rsid w:val="001148E5"/>
    <w:rsid w:val="00114ABA"/>
    <w:rsid w:val="00115506"/>
    <w:rsid w:val="001178A4"/>
    <w:rsid w:val="00117C63"/>
    <w:rsid w:val="00120B7A"/>
    <w:rsid w:val="00120EA3"/>
    <w:rsid w:val="00122753"/>
    <w:rsid w:val="00122756"/>
    <w:rsid w:val="00122D07"/>
    <w:rsid w:val="00122E1C"/>
    <w:rsid w:val="001234FA"/>
    <w:rsid w:val="001241F3"/>
    <w:rsid w:val="001241FA"/>
    <w:rsid w:val="001243E3"/>
    <w:rsid w:val="00124508"/>
    <w:rsid w:val="00124777"/>
    <w:rsid w:val="00124E1B"/>
    <w:rsid w:val="00124F19"/>
    <w:rsid w:val="00125A04"/>
    <w:rsid w:val="00126E7A"/>
    <w:rsid w:val="00126F46"/>
    <w:rsid w:val="001273DF"/>
    <w:rsid w:val="00127F06"/>
    <w:rsid w:val="00130C8C"/>
    <w:rsid w:val="00131F47"/>
    <w:rsid w:val="00131F59"/>
    <w:rsid w:val="001327F1"/>
    <w:rsid w:val="00132831"/>
    <w:rsid w:val="001329BD"/>
    <w:rsid w:val="00132FAE"/>
    <w:rsid w:val="00133350"/>
    <w:rsid w:val="001336B7"/>
    <w:rsid w:val="0013388A"/>
    <w:rsid w:val="00134B82"/>
    <w:rsid w:val="00135C47"/>
    <w:rsid w:val="00137996"/>
    <w:rsid w:val="00141659"/>
    <w:rsid w:val="00141A6B"/>
    <w:rsid w:val="00141A85"/>
    <w:rsid w:val="00141B92"/>
    <w:rsid w:val="001424F4"/>
    <w:rsid w:val="001439A4"/>
    <w:rsid w:val="00143D8A"/>
    <w:rsid w:val="00144458"/>
    <w:rsid w:val="001445BC"/>
    <w:rsid w:val="0014479B"/>
    <w:rsid w:val="0014534F"/>
    <w:rsid w:val="00145939"/>
    <w:rsid w:val="00146B32"/>
    <w:rsid w:val="00146DB1"/>
    <w:rsid w:val="0014743B"/>
    <w:rsid w:val="00147709"/>
    <w:rsid w:val="001512D8"/>
    <w:rsid w:val="001519F8"/>
    <w:rsid w:val="00151E87"/>
    <w:rsid w:val="00151F90"/>
    <w:rsid w:val="00152ED7"/>
    <w:rsid w:val="00155310"/>
    <w:rsid w:val="00155575"/>
    <w:rsid w:val="001559E8"/>
    <w:rsid w:val="00155A2E"/>
    <w:rsid w:val="001574C8"/>
    <w:rsid w:val="00157E2C"/>
    <w:rsid w:val="00160B10"/>
    <w:rsid w:val="00160C89"/>
    <w:rsid w:val="00160DB6"/>
    <w:rsid w:val="00160F51"/>
    <w:rsid w:val="00161146"/>
    <w:rsid w:val="00161485"/>
    <w:rsid w:val="00162F66"/>
    <w:rsid w:val="001632CF"/>
    <w:rsid w:val="001637F7"/>
    <w:rsid w:val="00163F8A"/>
    <w:rsid w:val="0016435A"/>
    <w:rsid w:val="00167310"/>
    <w:rsid w:val="001677A6"/>
    <w:rsid w:val="0017056C"/>
    <w:rsid w:val="00170980"/>
    <w:rsid w:val="001710E2"/>
    <w:rsid w:val="00171CB5"/>
    <w:rsid w:val="001736A4"/>
    <w:rsid w:val="00173C6F"/>
    <w:rsid w:val="00176468"/>
    <w:rsid w:val="00176BB2"/>
    <w:rsid w:val="00176BD0"/>
    <w:rsid w:val="00180851"/>
    <w:rsid w:val="00180BBE"/>
    <w:rsid w:val="00181833"/>
    <w:rsid w:val="001818EB"/>
    <w:rsid w:val="0018246D"/>
    <w:rsid w:val="00182D88"/>
    <w:rsid w:val="001848C9"/>
    <w:rsid w:val="00184CB9"/>
    <w:rsid w:val="00185112"/>
    <w:rsid w:val="00185A1E"/>
    <w:rsid w:val="001869E8"/>
    <w:rsid w:val="00187926"/>
    <w:rsid w:val="0019077D"/>
    <w:rsid w:val="00190F51"/>
    <w:rsid w:val="00191176"/>
    <w:rsid w:val="00191266"/>
    <w:rsid w:val="00193769"/>
    <w:rsid w:val="001938CC"/>
    <w:rsid w:val="00194C7B"/>
    <w:rsid w:val="00194D7C"/>
    <w:rsid w:val="00195B22"/>
    <w:rsid w:val="0019637B"/>
    <w:rsid w:val="00196D14"/>
    <w:rsid w:val="001978F2"/>
    <w:rsid w:val="00197BCA"/>
    <w:rsid w:val="00197BE6"/>
    <w:rsid w:val="001A2E25"/>
    <w:rsid w:val="001A396A"/>
    <w:rsid w:val="001A4F92"/>
    <w:rsid w:val="001A5B84"/>
    <w:rsid w:val="001A6292"/>
    <w:rsid w:val="001B3D28"/>
    <w:rsid w:val="001B3F56"/>
    <w:rsid w:val="001B640D"/>
    <w:rsid w:val="001C0E5F"/>
    <w:rsid w:val="001C114E"/>
    <w:rsid w:val="001C1A12"/>
    <w:rsid w:val="001C3C23"/>
    <w:rsid w:val="001C48DE"/>
    <w:rsid w:val="001C6217"/>
    <w:rsid w:val="001C64AC"/>
    <w:rsid w:val="001C6CE5"/>
    <w:rsid w:val="001C7834"/>
    <w:rsid w:val="001D0BBA"/>
    <w:rsid w:val="001D2438"/>
    <w:rsid w:val="001D2AF5"/>
    <w:rsid w:val="001D420C"/>
    <w:rsid w:val="001D4215"/>
    <w:rsid w:val="001D4F84"/>
    <w:rsid w:val="001D5D16"/>
    <w:rsid w:val="001D678F"/>
    <w:rsid w:val="001E0AEB"/>
    <w:rsid w:val="001E15A0"/>
    <w:rsid w:val="001E2AC8"/>
    <w:rsid w:val="001E413D"/>
    <w:rsid w:val="001E530E"/>
    <w:rsid w:val="001E619B"/>
    <w:rsid w:val="001E6293"/>
    <w:rsid w:val="001E671D"/>
    <w:rsid w:val="001E6DEA"/>
    <w:rsid w:val="001E6FAA"/>
    <w:rsid w:val="001E734E"/>
    <w:rsid w:val="001E77DB"/>
    <w:rsid w:val="001F1211"/>
    <w:rsid w:val="001F1616"/>
    <w:rsid w:val="001F1CE4"/>
    <w:rsid w:val="001F2338"/>
    <w:rsid w:val="001F2B7D"/>
    <w:rsid w:val="001F2FFF"/>
    <w:rsid w:val="001F3915"/>
    <w:rsid w:val="001F3EC5"/>
    <w:rsid w:val="001F4823"/>
    <w:rsid w:val="001F549F"/>
    <w:rsid w:val="001F5CB7"/>
    <w:rsid w:val="001F5D25"/>
    <w:rsid w:val="001F6BA1"/>
    <w:rsid w:val="001F7D6B"/>
    <w:rsid w:val="00200B91"/>
    <w:rsid w:val="002029BB"/>
    <w:rsid w:val="00203177"/>
    <w:rsid w:val="00203401"/>
    <w:rsid w:val="0020367B"/>
    <w:rsid w:val="00203FAA"/>
    <w:rsid w:val="0020439D"/>
    <w:rsid w:val="00204AF9"/>
    <w:rsid w:val="00205458"/>
    <w:rsid w:val="002055A6"/>
    <w:rsid w:val="00205BDA"/>
    <w:rsid w:val="00206E89"/>
    <w:rsid w:val="002101B3"/>
    <w:rsid w:val="002103C8"/>
    <w:rsid w:val="00211EB5"/>
    <w:rsid w:val="002120AC"/>
    <w:rsid w:val="00213B47"/>
    <w:rsid w:val="0021696E"/>
    <w:rsid w:val="0022132E"/>
    <w:rsid w:val="00221FCC"/>
    <w:rsid w:val="002220B0"/>
    <w:rsid w:val="002220C8"/>
    <w:rsid w:val="0022325F"/>
    <w:rsid w:val="0022468E"/>
    <w:rsid w:val="00226BB9"/>
    <w:rsid w:val="0022720B"/>
    <w:rsid w:val="002272D2"/>
    <w:rsid w:val="002276AE"/>
    <w:rsid w:val="00227963"/>
    <w:rsid w:val="00227A3B"/>
    <w:rsid w:val="00232892"/>
    <w:rsid w:val="0023290C"/>
    <w:rsid w:val="00234573"/>
    <w:rsid w:val="00234F70"/>
    <w:rsid w:val="00235AB7"/>
    <w:rsid w:val="0023611F"/>
    <w:rsid w:val="00236891"/>
    <w:rsid w:val="002374D5"/>
    <w:rsid w:val="002406B1"/>
    <w:rsid w:val="00240942"/>
    <w:rsid w:val="00240E80"/>
    <w:rsid w:val="00242911"/>
    <w:rsid w:val="00242EF3"/>
    <w:rsid w:val="00243EF9"/>
    <w:rsid w:val="00244CB2"/>
    <w:rsid w:val="00244EEC"/>
    <w:rsid w:val="00245422"/>
    <w:rsid w:val="002454C1"/>
    <w:rsid w:val="002457FF"/>
    <w:rsid w:val="00245ECC"/>
    <w:rsid w:val="00246C60"/>
    <w:rsid w:val="00247559"/>
    <w:rsid w:val="00247A9B"/>
    <w:rsid w:val="002500FA"/>
    <w:rsid w:val="00250DCC"/>
    <w:rsid w:val="00252050"/>
    <w:rsid w:val="00254CDB"/>
    <w:rsid w:val="00255204"/>
    <w:rsid w:val="00255597"/>
    <w:rsid w:val="002556AB"/>
    <w:rsid w:val="0025750B"/>
    <w:rsid w:val="00257DEB"/>
    <w:rsid w:val="00260B9D"/>
    <w:rsid w:val="00261AA1"/>
    <w:rsid w:val="0026303D"/>
    <w:rsid w:val="002641DB"/>
    <w:rsid w:val="00264252"/>
    <w:rsid w:val="002648E7"/>
    <w:rsid w:val="00264F0A"/>
    <w:rsid w:val="00264F0B"/>
    <w:rsid w:val="002650EB"/>
    <w:rsid w:val="00265B94"/>
    <w:rsid w:val="00265C1B"/>
    <w:rsid w:val="00265F55"/>
    <w:rsid w:val="00266F36"/>
    <w:rsid w:val="00267654"/>
    <w:rsid w:val="0027018D"/>
    <w:rsid w:val="0027067F"/>
    <w:rsid w:val="00271CD5"/>
    <w:rsid w:val="00272706"/>
    <w:rsid w:val="00273079"/>
    <w:rsid w:val="002736F3"/>
    <w:rsid w:val="00273D8B"/>
    <w:rsid w:val="00274507"/>
    <w:rsid w:val="00275A36"/>
    <w:rsid w:val="002763BE"/>
    <w:rsid w:val="00277845"/>
    <w:rsid w:val="00277A29"/>
    <w:rsid w:val="00277E9C"/>
    <w:rsid w:val="0028060F"/>
    <w:rsid w:val="00281D49"/>
    <w:rsid w:val="002821F0"/>
    <w:rsid w:val="002822CE"/>
    <w:rsid w:val="0028290C"/>
    <w:rsid w:val="00282B2B"/>
    <w:rsid w:val="002832BF"/>
    <w:rsid w:val="00283F25"/>
    <w:rsid w:val="00284016"/>
    <w:rsid w:val="00284A17"/>
    <w:rsid w:val="00284D24"/>
    <w:rsid w:val="00285543"/>
    <w:rsid w:val="00286230"/>
    <w:rsid w:val="00286F22"/>
    <w:rsid w:val="00286F88"/>
    <w:rsid w:val="00287330"/>
    <w:rsid w:val="00290667"/>
    <w:rsid w:val="0029097C"/>
    <w:rsid w:val="00291C52"/>
    <w:rsid w:val="002958B5"/>
    <w:rsid w:val="00296C04"/>
    <w:rsid w:val="00297364"/>
    <w:rsid w:val="00297822"/>
    <w:rsid w:val="002A01D1"/>
    <w:rsid w:val="002A0415"/>
    <w:rsid w:val="002A0D69"/>
    <w:rsid w:val="002A1793"/>
    <w:rsid w:val="002A1C8C"/>
    <w:rsid w:val="002A2449"/>
    <w:rsid w:val="002A29EB"/>
    <w:rsid w:val="002A2B09"/>
    <w:rsid w:val="002A2B64"/>
    <w:rsid w:val="002A3BE2"/>
    <w:rsid w:val="002A3D3F"/>
    <w:rsid w:val="002A52D2"/>
    <w:rsid w:val="002A52DA"/>
    <w:rsid w:val="002A53BC"/>
    <w:rsid w:val="002A5D19"/>
    <w:rsid w:val="002A7632"/>
    <w:rsid w:val="002A7773"/>
    <w:rsid w:val="002B17D5"/>
    <w:rsid w:val="002B19B9"/>
    <w:rsid w:val="002B1B2F"/>
    <w:rsid w:val="002B2730"/>
    <w:rsid w:val="002B290E"/>
    <w:rsid w:val="002B3D65"/>
    <w:rsid w:val="002B4036"/>
    <w:rsid w:val="002B4326"/>
    <w:rsid w:val="002B4560"/>
    <w:rsid w:val="002B56E1"/>
    <w:rsid w:val="002B5B4F"/>
    <w:rsid w:val="002B5B7A"/>
    <w:rsid w:val="002B5D63"/>
    <w:rsid w:val="002B623D"/>
    <w:rsid w:val="002B7FBC"/>
    <w:rsid w:val="002C00C4"/>
    <w:rsid w:val="002C1A60"/>
    <w:rsid w:val="002C22EC"/>
    <w:rsid w:val="002C26CE"/>
    <w:rsid w:val="002C2B78"/>
    <w:rsid w:val="002C321C"/>
    <w:rsid w:val="002C4265"/>
    <w:rsid w:val="002C498F"/>
    <w:rsid w:val="002C4C5C"/>
    <w:rsid w:val="002C65A1"/>
    <w:rsid w:val="002C690A"/>
    <w:rsid w:val="002C76EA"/>
    <w:rsid w:val="002C772E"/>
    <w:rsid w:val="002D0794"/>
    <w:rsid w:val="002D0D06"/>
    <w:rsid w:val="002D1D6A"/>
    <w:rsid w:val="002D2407"/>
    <w:rsid w:val="002D2763"/>
    <w:rsid w:val="002D3CBC"/>
    <w:rsid w:val="002D4199"/>
    <w:rsid w:val="002D4427"/>
    <w:rsid w:val="002D4C24"/>
    <w:rsid w:val="002D5774"/>
    <w:rsid w:val="002D64AB"/>
    <w:rsid w:val="002E002C"/>
    <w:rsid w:val="002E11B8"/>
    <w:rsid w:val="002E27B4"/>
    <w:rsid w:val="002E2A8C"/>
    <w:rsid w:val="002E2DAA"/>
    <w:rsid w:val="002E3B4D"/>
    <w:rsid w:val="002E4115"/>
    <w:rsid w:val="002E50A4"/>
    <w:rsid w:val="002E5BBB"/>
    <w:rsid w:val="002E650E"/>
    <w:rsid w:val="002E6643"/>
    <w:rsid w:val="002E6F83"/>
    <w:rsid w:val="002F0109"/>
    <w:rsid w:val="002F0489"/>
    <w:rsid w:val="002F0D08"/>
    <w:rsid w:val="002F2258"/>
    <w:rsid w:val="002F286E"/>
    <w:rsid w:val="002F2907"/>
    <w:rsid w:val="002F2EBE"/>
    <w:rsid w:val="002F435F"/>
    <w:rsid w:val="002F55C3"/>
    <w:rsid w:val="002F6FE1"/>
    <w:rsid w:val="002F769F"/>
    <w:rsid w:val="00300214"/>
    <w:rsid w:val="00300EFA"/>
    <w:rsid w:val="003010ED"/>
    <w:rsid w:val="00302B02"/>
    <w:rsid w:val="00303165"/>
    <w:rsid w:val="00303B8A"/>
    <w:rsid w:val="00303BCC"/>
    <w:rsid w:val="00304DAB"/>
    <w:rsid w:val="003058DC"/>
    <w:rsid w:val="00306149"/>
    <w:rsid w:val="00306819"/>
    <w:rsid w:val="003069EF"/>
    <w:rsid w:val="00307C81"/>
    <w:rsid w:val="00311AE6"/>
    <w:rsid w:val="00313385"/>
    <w:rsid w:val="00313CBE"/>
    <w:rsid w:val="00316674"/>
    <w:rsid w:val="00316F9A"/>
    <w:rsid w:val="00317BD9"/>
    <w:rsid w:val="00323060"/>
    <w:rsid w:val="0032328D"/>
    <w:rsid w:val="003241D8"/>
    <w:rsid w:val="003246CB"/>
    <w:rsid w:val="00324D93"/>
    <w:rsid w:val="0032662E"/>
    <w:rsid w:val="003278B6"/>
    <w:rsid w:val="003279DE"/>
    <w:rsid w:val="003304CF"/>
    <w:rsid w:val="00331A06"/>
    <w:rsid w:val="00331A0E"/>
    <w:rsid w:val="003323DC"/>
    <w:rsid w:val="00332B45"/>
    <w:rsid w:val="003360A3"/>
    <w:rsid w:val="0033646D"/>
    <w:rsid w:val="00337851"/>
    <w:rsid w:val="00337D1D"/>
    <w:rsid w:val="00337E78"/>
    <w:rsid w:val="0034020D"/>
    <w:rsid w:val="00340820"/>
    <w:rsid w:val="00341C17"/>
    <w:rsid w:val="00342A27"/>
    <w:rsid w:val="00342CBB"/>
    <w:rsid w:val="003434B3"/>
    <w:rsid w:val="003434E4"/>
    <w:rsid w:val="00344151"/>
    <w:rsid w:val="00345609"/>
    <w:rsid w:val="00346A1F"/>
    <w:rsid w:val="00347ACC"/>
    <w:rsid w:val="003507F9"/>
    <w:rsid w:val="00350D0E"/>
    <w:rsid w:val="0035188E"/>
    <w:rsid w:val="003518D9"/>
    <w:rsid w:val="00351B64"/>
    <w:rsid w:val="00353681"/>
    <w:rsid w:val="00353CF9"/>
    <w:rsid w:val="00353D64"/>
    <w:rsid w:val="00354624"/>
    <w:rsid w:val="003550F1"/>
    <w:rsid w:val="003562EF"/>
    <w:rsid w:val="003565B6"/>
    <w:rsid w:val="0035763B"/>
    <w:rsid w:val="00360A5B"/>
    <w:rsid w:val="00361D75"/>
    <w:rsid w:val="00362970"/>
    <w:rsid w:val="00362CBB"/>
    <w:rsid w:val="00363332"/>
    <w:rsid w:val="0036654A"/>
    <w:rsid w:val="00366A37"/>
    <w:rsid w:val="00366F96"/>
    <w:rsid w:val="00370EE3"/>
    <w:rsid w:val="00371B75"/>
    <w:rsid w:val="0037468D"/>
    <w:rsid w:val="00376283"/>
    <w:rsid w:val="00376F06"/>
    <w:rsid w:val="003803E1"/>
    <w:rsid w:val="00380C99"/>
    <w:rsid w:val="00381F50"/>
    <w:rsid w:val="00382F81"/>
    <w:rsid w:val="00384F10"/>
    <w:rsid w:val="00385574"/>
    <w:rsid w:val="003860C5"/>
    <w:rsid w:val="00387C73"/>
    <w:rsid w:val="0039102F"/>
    <w:rsid w:val="003923AE"/>
    <w:rsid w:val="003924A8"/>
    <w:rsid w:val="00392968"/>
    <w:rsid w:val="00392D12"/>
    <w:rsid w:val="00393017"/>
    <w:rsid w:val="00393159"/>
    <w:rsid w:val="003939F6"/>
    <w:rsid w:val="00394131"/>
    <w:rsid w:val="003944CE"/>
    <w:rsid w:val="00394587"/>
    <w:rsid w:val="003951CA"/>
    <w:rsid w:val="0039596B"/>
    <w:rsid w:val="00395F17"/>
    <w:rsid w:val="003960A0"/>
    <w:rsid w:val="00396AE9"/>
    <w:rsid w:val="00396CD1"/>
    <w:rsid w:val="003A02BD"/>
    <w:rsid w:val="003A05A7"/>
    <w:rsid w:val="003A0E18"/>
    <w:rsid w:val="003A1063"/>
    <w:rsid w:val="003A1B0F"/>
    <w:rsid w:val="003A3CAA"/>
    <w:rsid w:val="003A423B"/>
    <w:rsid w:val="003A531E"/>
    <w:rsid w:val="003A6996"/>
    <w:rsid w:val="003A6CE6"/>
    <w:rsid w:val="003A717D"/>
    <w:rsid w:val="003A7746"/>
    <w:rsid w:val="003A78EE"/>
    <w:rsid w:val="003B0734"/>
    <w:rsid w:val="003B09FA"/>
    <w:rsid w:val="003B0C4C"/>
    <w:rsid w:val="003B0F0A"/>
    <w:rsid w:val="003B149B"/>
    <w:rsid w:val="003B1B30"/>
    <w:rsid w:val="003B2458"/>
    <w:rsid w:val="003B36BC"/>
    <w:rsid w:val="003B4027"/>
    <w:rsid w:val="003B4973"/>
    <w:rsid w:val="003B4BAF"/>
    <w:rsid w:val="003B4DB9"/>
    <w:rsid w:val="003B4FE1"/>
    <w:rsid w:val="003B508C"/>
    <w:rsid w:val="003B59A2"/>
    <w:rsid w:val="003B6688"/>
    <w:rsid w:val="003C0BBB"/>
    <w:rsid w:val="003C10AC"/>
    <w:rsid w:val="003C22DC"/>
    <w:rsid w:val="003C262A"/>
    <w:rsid w:val="003C2D6F"/>
    <w:rsid w:val="003C3CF5"/>
    <w:rsid w:val="003C6E56"/>
    <w:rsid w:val="003C7CB7"/>
    <w:rsid w:val="003D168B"/>
    <w:rsid w:val="003D1BB2"/>
    <w:rsid w:val="003D36E7"/>
    <w:rsid w:val="003D3A87"/>
    <w:rsid w:val="003D3B37"/>
    <w:rsid w:val="003D558F"/>
    <w:rsid w:val="003D680B"/>
    <w:rsid w:val="003D7020"/>
    <w:rsid w:val="003D702F"/>
    <w:rsid w:val="003E0160"/>
    <w:rsid w:val="003E0352"/>
    <w:rsid w:val="003E04E3"/>
    <w:rsid w:val="003E0915"/>
    <w:rsid w:val="003E19E2"/>
    <w:rsid w:val="003E43FD"/>
    <w:rsid w:val="003E55C8"/>
    <w:rsid w:val="003E568D"/>
    <w:rsid w:val="003E56E5"/>
    <w:rsid w:val="003E61B4"/>
    <w:rsid w:val="003E79C7"/>
    <w:rsid w:val="003F12DC"/>
    <w:rsid w:val="003F14F8"/>
    <w:rsid w:val="003F17D9"/>
    <w:rsid w:val="003F22A9"/>
    <w:rsid w:val="003F23EC"/>
    <w:rsid w:val="003F3483"/>
    <w:rsid w:val="003F3A15"/>
    <w:rsid w:val="003F53B2"/>
    <w:rsid w:val="003F5C04"/>
    <w:rsid w:val="003F5D14"/>
    <w:rsid w:val="003F70DE"/>
    <w:rsid w:val="0040059C"/>
    <w:rsid w:val="004008CB"/>
    <w:rsid w:val="004012FE"/>
    <w:rsid w:val="004014DA"/>
    <w:rsid w:val="00401573"/>
    <w:rsid w:val="00402596"/>
    <w:rsid w:val="00404BC3"/>
    <w:rsid w:val="00405A5C"/>
    <w:rsid w:val="004062FB"/>
    <w:rsid w:val="00406A13"/>
    <w:rsid w:val="00407462"/>
    <w:rsid w:val="00407A46"/>
    <w:rsid w:val="00407B76"/>
    <w:rsid w:val="0041026B"/>
    <w:rsid w:val="004104BB"/>
    <w:rsid w:val="00410E7A"/>
    <w:rsid w:val="0041149D"/>
    <w:rsid w:val="00411A42"/>
    <w:rsid w:val="004130C2"/>
    <w:rsid w:val="00413473"/>
    <w:rsid w:val="004143EA"/>
    <w:rsid w:val="00414618"/>
    <w:rsid w:val="00415216"/>
    <w:rsid w:val="004153F5"/>
    <w:rsid w:val="00420007"/>
    <w:rsid w:val="0042018F"/>
    <w:rsid w:val="004204FA"/>
    <w:rsid w:val="00420910"/>
    <w:rsid w:val="00420CA0"/>
    <w:rsid w:val="00420E8C"/>
    <w:rsid w:val="00423390"/>
    <w:rsid w:val="00423B7A"/>
    <w:rsid w:val="00424BCB"/>
    <w:rsid w:val="00425AD0"/>
    <w:rsid w:val="004266A4"/>
    <w:rsid w:val="004272B0"/>
    <w:rsid w:val="00430175"/>
    <w:rsid w:val="0043028A"/>
    <w:rsid w:val="004306C0"/>
    <w:rsid w:val="00431871"/>
    <w:rsid w:val="00431DB1"/>
    <w:rsid w:val="004323AB"/>
    <w:rsid w:val="00432DBF"/>
    <w:rsid w:val="00433838"/>
    <w:rsid w:val="004350D7"/>
    <w:rsid w:val="0043682B"/>
    <w:rsid w:val="00440502"/>
    <w:rsid w:val="00440892"/>
    <w:rsid w:val="00440AF8"/>
    <w:rsid w:val="00440FE1"/>
    <w:rsid w:val="004418D4"/>
    <w:rsid w:val="004422D2"/>
    <w:rsid w:val="00444723"/>
    <w:rsid w:val="004450C6"/>
    <w:rsid w:val="00445627"/>
    <w:rsid w:val="00445949"/>
    <w:rsid w:val="00445CE6"/>
    <w:rsid w:val="00445DDB"/>
    <w:rsid w:val="00447EC1"/>
    <w:rsid w:val="0045245C"/>
    <w:rsid w:val="00452981"/>
    <w:rsid w:val="004532F0"/>
    <w:rsid w:val="004534F3"/>
    <w:rsid w:val="0045492E"/>
    <w:rsid w:val="00454E5D"/>
    <w:rsid w:val="00454FDA"/>
    <w:rsid w:val="00456E40"/>
    <w:rsid w:val="00456F36"/>
    <w:rsid w:val="004573C1"/>
    <w:rsid w:val="004573DA"/>
    <w:rsid w:val="004607BB"/>
    <w:rsid w:val="00461278"/>
    <w:rsid w:val="004616DB"/>
    <w:rsid w:val="004626A6"/>
    <w:rsid w:val="004630CA"/>
    <w:rsid w:val="00463958"/>
    <w:rsid w:val="00463D24"/>
    <w:rsid w:val="00463FA4"/>
    <w:rsid w:val="00464144"/>
    <w:rsid w:val="004653D7"/>
    <w:rsid w:val="0046584B"/>
    <w:rsid w:val="0046630F"/>
    <w:rsid w:val="00466DBD"/>
    <w:rsid w:val="00466F3A"/>
    <w:rsid w:val="00471D94"/>
    <w:rsid w:val="00472B24"/>
    <w:rsid w:val="00472F89"/>
    <w:rsid w:val="00473660"/>
    <w:rsid w:val="00474635"/>
    <w:rsid w:val="00475385"/>
    <w:rsid w:val="00476823"/>
    <w:rsid w:val="004771EE"/>
    <w:rsid w:val="004775F5"/>
    <w:rsid w:val="00481954"/>
    <w:rsid w:val="00481981"/>
    <w:rsid w:val="004829E4"/>
    <w:rsid w:val="004838BE"/>
    <w:rsid w:val="0048528A"/>
    <w:rsid w:val="00486310"/>
    <w:rsid w:val="00486895"/>
    <w:rsid w:val="00486CFF"/>
    <w:rsid w:val="00486D37"/>
    <w:rsid w:val="00487242"/>
    <w:rsid w:val="0048732A"/>
    <w:rsid w:val="00490A48"/>
    <w:rsid w:val="004918AF"/>
    <w:rsid w:val="00491AF4"/>
    <w:rsid w:val="004920FE"/>
    <w:rsid w:val="00492F6C"/>
    <w:rsid w:val="004948C7"/>
    <w:rsid w:val="0049490A"/>
    <w:rsid w:val="0049531E"/>
    <w:rsid w:val="0049624A"/>
    <w:rsid w:val="00496CC2"/>
    <w:rsid w:val="004A1047"/>
    <w:rsid w:val="004A1116"/>
    <w:rsid w:val="004A2659"/>
    <w:rsid w:val="004A4060"/>
    <w:rsid w:val="004A42EF"/>
    <w:rsid w:val="004A441B"/>
    <w:rsid w:val="004A4451"/>
    <w:rsid w:val="004A4462"/>
    <w:rsid w:val="004A471E"/>
    <w:rsid w:val="004A4877"/>
    <w:rsid w:val="004A4AC6"/>
    <w:rsid w:val="004A7AFB"/>
    <w:rsid w:val="004A7DC7"/>
    <w:rsid w:val="004B18C3"/>
    <w:rsid w:val="004B1C43"/>
    <w:rsid w:val="004B20DA"/>
    <w:rsid w:val="004B3F08"/>
    <w:rsid w:val="004B3F35"/>
    <w:rsid w:val="004B4BB9"/>
    <w:rsid w:val="004B5560"/>
    <w:rsid w:val="004B6F72"/>
    <w:rsid w:val="004C08AD"/>
    <w:rsid w:val="004C1597"/>
    <w:rsid w:val="004C3054"/>
    <w:rsid w:val="004C3970"/>
    <w:rsid w:val="004C3F61"/>
    <w:rsid w:val="004C4424"/>
    <w:rsid w:val="004C4EB0"/>
    <w:rsid w:val="004C59D2"/>
    <w:rsid w:val="004C7251"/>
    <w:rsid w:val="004C7504"/>
    <w:rsid w:val="004D02A8"/>
    <w:rsid w:val="004D0840"/>
    <w:rsid w:val="004D27F7"/>
    <w:rsid w:val="004D2CF5"/>
    <w:rsid w:val="004D3350"/>
    <w:rsid w:val="004D357C"/>
    <w:rsid w:val="004D372F"/>
    <w:rsid w:val="004D3FAB"/>
    <w:rsid w:val="004D466E"/>
    <w:rsid w:val="004D7751"/>
    <w:rsid w:val="004D78B1"/>
    <w:rsid w:val="004E0A5A"/>
    <w:rsid w:val="004E1262"/>
    <w:rsid w:val="004E3768"/>
    <w:rsid w:val="004E4C97"/>
    <w:rsid w:val="004E6179"/>
    <w:rsid w:val="004E6214"/>
    <w:rsid w:val="004E7022"/>
    <w:rsid w:val="004E791E"/>
    <w:rsid w:val="004F0318"/>
    <w:rsid w:val="004F0844"/>
    <w:rsid w:val="004F2355"/>
    <w:rsid w:val="004F24DB"/>
    <w:rsid w:val="004F2A6C"/>
    <w:rsid w:val="004F2CBF"/>
    <w:rsid w:val="004F36C4"/>
    <w:rsid w:val="004F3DD3"/>
    <w:rsid w:val="004F577A"/>
    <w:rsid w:val="004F6AF6"/>
    <w:rsid w:val="00500A00"/>
    <w:rsid w:val="0050140E"/>
    <w:rsid w:val="00501888"/>
    <w:rsid w:val="00503407"/>
    <w:rsid w:val="00503575"/>
    <w:rsid w:val="0050405D"/>
    <w:rsid w:val="0050426C"/>
    <w:rsid w:val="00504367"/>
    <w:rsid w:val="00505AF7"/>
    <w:rsid w:val="0050617A"/>
    <w:rsid w:val="005062E7"/>
    <w:rsid w:val="0050650D"/>
    <w:rsid w:val="00507222"/>
    <w:rsid w:val="005073ED"/>
    <w:rsid w:val="00507748"/>
    <w:rsid w:val="00507945"/>
    <w:rsid w:val="00510240"/>
    <w:rsid w:val="00510BA5"/>
    <w:rsid w:val="00512269"/>
    <w:rsid w:val="00513FD5"/>
    <w:rsid w:val="0051663B"/>
    <w:rsid w:val="00516767"/>
    <w:rsid w:val="00516EA2"/>
    <w:rsid w:val="00517D84"/>
    <w:rsid w:val="005204DC"/>
    <w:rsid w:val="005206E6"/>
    <w:rsid w:val="0052180B"/>
    <w:rsid w:val="00521C90"/>
    <w:rsid w:val="0052375A"/>
    <w:rsid w:val="00523D21"/>
    <w:rsid w:val="00526C2C"/>
    <w:rsid w:val="00526FA9"/>
    <w:rsid w:val="00527685"/>
    <w:rsid w:val="00530EFC"/>
    <w:rsid w:val="0053168E"/>
    <w:rsid w:val="00531868"/>
    <w:rsid w:val="00531B85"/>
    <w:rsid w:val="00531D78"/>
    <w:rsid w:val="00533315"/>
    <w:rsid w:val="00533480"/>
    <w:rsid w:val="0053375B"/>
    <w:rsid w:val="0053384A"/>
    <w:rsid w:val="0053461B"/>
    <w:rsid w:val="00535260"/>
    <w:rsid w:val="00535323"/>
    <w:rsid w:val="00536667"/>
    <w:rsid w:val="00536802"/>
    <w:rsid w:val="00536BC7"/>
    <w:rsid w:val="005378E3"/>
    <w:rsid w:val="00537EF3"/>
    <w:rsid w:val="005404E6"/>
    <w:rsid w:val="00540CCB"/>
    <w:rsid w:val="0054145C"/>
    <w:rsid w:val="005415A5"/>
    <w:rsid w:val="005415A7"/>
    <w:rsid w:val="00541F04"/>
    <w:rsid w:val="0054200B"/>
    <w:rsid w:val="00542098"/>
    <w:rsid w:val="0054383C"/>
    <w:rsid w:val="00543934"/>
    <w:rsid w:val="00544D61"/>
    <w:rsid w:val="00544FCF"/>
    <w:rsid w:val="0054510A"/>
    <w:rsid w:val="00547FE8"/>
    <w:rsid w:val="0055039F"/>
    <w:rsid w:val="0055150A"/>
    <w:rsid w:val="0055186B"/>
    <w:rsid w:val="0055189C"/>
    <w:rsid w:val="00552362"/>
    <w:rsid w:val="0055275F"/>
    <w:rsid w:val="0055295F"/>
    <w:rsid w:val="00553028"/>
    <w:rsid w:val="00554692"/>
    <w:rsid w:val="005555C7"/>
    <w:rsid w:val="005555F4"/>
    <w:rsid w:val="00555D2A"/>
    <w:rsid w:val="00556209"/>
    <w:rsid w:val="005570C2"/>
    <w:rsid w:val="00557BE5"/>
    <w:rsid w:val="00560782"/>
    <w:rsid w:val="0056086E"/>
    <w:rsid w:val="00561AEA"/>
    <w:rsid w:val="005627F0"/>
    <w:rsid w:val="00562BFF"/>
    <w:rsid w:val="00563449"/>
    <w:rsid w:val="00564340"/>
    <w:rsid w:val="00564611"/>
    <w:rsid w:val="005656C2"/>
    <w:rsid w:val="005657B4"/>
    <w:rsid w:val="00565F24"/>
    <w:rsid w:val="005666EE"/>
    <w:rsid w:val="0056696E"/>
    <w:rsid w:val="00566AE0"/>
    <w:rsid w:val="00566C09"/>
    <w:rsid w:val="00566EA2"/>
    <w:rsid w:val="00566ED9"/>
    <w:rsid w:val="0056757F"/>
    <w:rsid w:val="00567F95"/>
    <w:rsid w:val="00570827"/>
    <w:rsid w:val="00570A35"/>
    <w:rsid w:val="00571231"/>
    <w:rsid w:val="00572579"/>
    <w:rsid w:val="0057605A"/>
    <w:rsid w:val="00576F88"/>
    <w:rsid w:val="00577B96"/>
    <w:rsid w:val="005800A6"/>
    <w:rsid w:val="00580E94"/>
    <w:rsid w:val="00580F24"/>
    <w:rsid w:val="005824EE"/>
    <w:rsid w:val="00582B1B"/>
    <w:rsid w:val="00582CF5"/>
    <w:rsid w:val="00582D75"/>
    <w:rsid w:val="005840BF"/>
    <w:rsid w:val="005851DC"/>
    <w:rsid w:val="00586883"/>
    <w:rsid w:val="0058699C"/>
    <w:rsid w:val="00587C08"/>
    <w:rsid w:val="005901FB"/>
    <w:rsid w:val="005918C1"/>
    <w:rsid w:val="00592508"/>
    <w:rsid w:val="00592F27"/>
    <w:rsid w:val="00592F60"/>
    <w:rsid w:val="005933FE"/>
    <w:rsid w:val="0059488B"/>
    <w:rsid w:val="0059540B"/>
    <w:rsid w:val="005955C0"/>
    <w:rsid w:val="0059694E"/>
    <w:rsid w:val="00596D16"/>
    <w:rsid w:val="00596F63"/>
    <w:rsid w:val="005972FB"/>
    <w:rsid w:val="005A0C9C"/>
    <w:rsid w:val="005A28B2"/>
    <w:rsid w:val="005A2C4C"/>
    <w:rsid w:val="005A3D98"/>
    <w:rsid w:val="005A6357"/>
    <w:rsid w:val="005A693A"/>
    <w:rsid w:val="005A74A5"/>
    <w:rsid w:val="005A799B"/>
    <w:rsid w:val="005B1155"/>
    <w:rsid w:val="005B1300"/>
    <w:rsid w:val="005B3D83"/>
    <w:rsid w:val="005B4130"/>
    <w:rsid w:val="005B46D2"/>
    <w:rsid w:val="005B48E4"/>
    <w:rsid w:val="005B5A3E"/>
    <w:rsid w:val="005B6A22"/>
    <w:rsid w:val="005B6AD3"/>
    <w:rsid w:val="005B71C6"/>
    <w:rsid w:val="005C0A5F"/>
    <w:rsid w:val="005C0BEC"/>
    <w:rsid w:val="005C200E"/>
    <w:rsid w:val="005C2F7F"/>
    <w:rsid w:val="005C39F4"/>
    <w:rsid w:val="005C5238"/>
    <w:rsid w:val="005C6D9A"/>
    <w:rsid w:val="005C78D2"/>
    <w:rsid w:val="005D0329"/>
    <w:rsid w:val="005D0839"/>
    <w:rsid w:val="005D16A6"/>
    <w:rsid w:val="005D1E14"/>
    <w:rsid w:val="005D26C5"/>
    <w:rsid w:val="005D2B5A"/>
    <w:rsid w:val="005D354F"/>
    <w:rsid w:val="005D515C"/>
    <w:rsid w:val="005D58F9"/>
    <w:rsid w:val="005D6A7D"/>
    <w:rsid w:val="005D6EA0"/>
    <w:rsid w:val="005D7D7D"/>
    <w:rsid w:val="005E00DE"/>
    <w:rsid w:val="005E05A1"/>
    <w:rsid w:val="005E13D4"/>
    <w:rsid w:val="005E19CB"/>
    <w:rsid w:val="005E1D51"/>
    <w:rsid w:val="005E2BAA"/>
    <w:rsid w:val="005E2D19"/>
    <w:rsid w:val="005E3AC3"/>
    <w:rsid w:val="005E48A1"/>
    <w:rsid w:val="005E4B9B"/>
    <w:rsid w:val="005E4DA7"/>
    <w:rsid w:val="005E5D81"/>
    <w:rsid w:val="005E6A83"/>
    <w:rsid w:val="005E6D45"/>
    <w:rsid w:val="005E72DE"/>
    <w:rsid w:val="005F199D"/>
    <w:rsid w:val="005F1EE7"/>
    <w:rsid w:val="005F233E"/>
    <w:rsid w:val="005F2592"/>
    <w:rsid w:val="005F26EA"/>
    <w:rsid w:val="005F27C0"/>
    <w:rsid w:val="005F28C7"/>
    <w:rsid w:val="005F3288"/>
    <w:rsid w:val="005F3D8C"/>
    <w:rsid w:val="005F4DB7"/>
    <w:rsid w:val="005F58E7"/>
    <w:rsid w:val="005F6E63"/>
    <w:rsid w:val="005F7A70"/>
    <w:rsid w:val="005F7A95"/>
    <w:rsid w:val="006004CE"/>
    <w:rsid w:val="006004FE"/>
    <w:rsid w:val="00601DDA"/>
    <w:rsid w:val="006028BA"/>
    <w:rsid w:val="006045CD"/>
    <w:rsid w:val="00604B8C"/>
    <w:rsid w:val="00604DED"/>
    <w:rsid w:val="00605041"/>
    <w:rsid w:val="006052CF"/>
    <w:rsid w:val="00605925"/>
    <w:rsid w:val="00606179"/>
    <w:rsid w:val="0060733A"/>
    <w:rsid w:val="006075AC"/>
    <w:rsid w:val="00607D79"/>
    <w:rsid w:val="0061199A"/>
    <w:rsid w:val="00612439"/>
    <w:rsid w:val="0061387D"/>
    <w:rsid w:val="00613A79"/>
    <w:rsid w:val="00615491"/>
    <w:rsid w:val="00615578"/>
    <w:rsid w:val="00615AD7"/>
    <w:rsid w:val="00616161"/>
    <w:rsid w:val="00616850"/>
    <w:rsid w:val="00617473"/>
    <w:rsid w:val="006174DF"/>
    <w:rsid w:val="00617AA8"/>
    <w:rsid w:val="0062008C"/>
    <w:rsid w:val="006202CC"/>
    <w:rsid w:val="00620D28"/>
    <w:rsid w:val="0062116A"/>
    <w:rsid w:val="00621D21"/>
    <w:rsid w:val="00621D93"/>
    <w:rsid w:val="00622083"/>
    <w:rsid w:val="0062341C"/>
    <w:rsid w:val="0062402A"/>
    <w:rsid w:val="0062450C"/>
    <w:rsid w:val="00624C44"/>
    <w:rsid w:val="00624E37"/>
    <w:rsid w:val="006255E7"/>
    <w:rsid w:val="00626076"/>
    <w:rsid w:val="00626C3A"/>
    <w:rsid w:val="00626DAA"/>
    <w:rsid w:val="00630B0D"/>
    <w:rsid w:val="006313B5"/>
    <w:rsid w:val="00631CA5"/>
    <w:rsid w:val="00632052"/>
    <w:rsid w:val="00633382"/>
    <w:rsid w:val="00634570"/>
    <w:rsid w:val="00635708"/>
    <w:rsid w:val="00635E46"/>
    <w:rsid w:val="0063628B"/>
    <w:rsid w:val="00636BA8"/>
    <w:rsid w:val="006371FD"/>
    <w:rsid w:val="00640002"/>
    <w:rsid w:val="006407B1"/>
    <w:rsid w:val="00640943"/>
    <w:rsid w:val="0064160B"/>
    <w:rsid w:val="00642546"/>
    <w:rsid w:val="00642BBC"/>
    <w:rsid w:val="00642BCE"/>
    <w:rsid w:val="00642D39"/>
    <w:rsid w:val="00643C3C"/>
    <w:rsid w:val="00646459"/>
    <w:rsid w:val="0064750F"/>
    <w:rsid w:val="00647882"/>
    <w:rsid w:val="00647F78"/>
    <w:rsid w:val="00650024"/>
    <w:rsid w:val="00651944"/>
    <w:rsid w:val="006521E3"/>
    <w:rsid w:val="0065268F"/>
    <w:rsid w:val="006530C8"/>
    <w:rsid w:val="0065350D"/>
    <w:rsid w:val="00653886"/>
    <w:rsid w:val="00654D75"/>
    <w:rsid w:val="00654ED8"/>
    <w:rsid w:val="006550D9"/>
    <w:rsid w:val="00655893"/>
    <w:rsid w:val="00655954"/>
    <w:rsid w:val="00655EF9"/>
    <w:rsid w:val="00661A9E"/>
    <w:rsid w:val="00662666"/>
    <w:rsid w:val="0066328F"/>
    <w:rsid w:val="006633DD"/>
    <w:rsid w:val="0066358D"/>
    <w:rsid w:val="006640C4"/>
    <w:rsid w:val="00664CEC"/>
    <w:rsid w:val="00664DA8"/>
    <w:rsid w:val="00665D69"/>
    <w:rsid w:val="0066776B"/>
    <w:rsid w:val="006703F5"/>
    <w:rsid w:val="00670DE4"/>
    <w:rsid w:val="006717FF"/>
    <w:rsid w:val="00673D85"/>
    <w:rsid w:val="0067456C"/>
    <w:rsid w:val="00674B22"/>
    <w:rsid w:val="00674D53"/>
    <w:rsid w:val="006752A4"/>
    <w:rsid w:val="00675BBA"/>
    <w:rsid w:val="006769D6"/>
    <w:rsid w:val="00676E85"/>
    <w:rsid w:val="00677352"/>
    <w:rsid w:val="00677487"/>
    <w:rsid w:val="006804DA"/>
    <w:rsid w:val="00680AA9"/>
    <w:rsid w:val="0068124E"/>
    <w:rsid w:val="006815F4"/>
    <w:rsid w:val="00682074"/>
    <w:rsid w:val="00682BEF"/>
    <w:rsid w:val="006842C0"/>
    <w:rsid w:val="0068486C"/>
    <w:rsid w:val="00684A39"/>
    <w:rsid w:val="00686B39"/>
    <w:rsid w:val="00687FD9"/>
    <w:rsid w:val="00692478"/>
    <w:rsid w:val="0069270F"/>
    <w:rsid w:val="00692895"/>
    <w:rsid w:val="0069303B"/>
    <w:rsid w:val="006934D7"/>
    <w:rsid w:val="00693EAB"/>
    <w:rsid w:val="00693F10"/>
    <w:rsid w:val="006954C6"/>
    <w:rsid w:val="006958CD"/>
    <w:rsid w:val="00695D5C"/>
    <w:rsid w:val="00696700"/>
    <w:rsid w:val="00697D9E"/>
    <w:rsid w:val="006A0AFE"/>
    <w:rsid w:val="006A0C85"/>
    <w:rsid w:val="006A1556"/>
    <w:rsid w:val="006A1C41"/>
    <w:rsid w:val="006A1C9F"/>
    <w:rsid w:val="006A2BC4"/>
    <w:rsid w:val="006A4298"/>
    <w:rsid w:val="006A51D4"/>
    <w:rsid w:val="006A548E"/>
    <w:rsid w:val="006A5702"/>
    <w:rsid w:val="006A594D"/>
    <w:rsid w:val="006A5A38"/>
    <w:rsid w:val="006A606E"/>
    <w:rsid w:val="006A6DB5"/>
    <w:rsid w:val="006A6FA8"/>
    <w:rsid w:val="006B0DA6"/>
    <w:rsid w:val="006B2383"/>
    <w:rsid w:val="006B3A57"/>
    <w:rsid w:val="006B5039"/>
    <w:rsid w:val="006B5301"/>
    <w:rsid w:val="006B5AFC"/>
    <w:rsid w:val="006B5E32"/>
    <w:rsid w:val="006B7036"/>
    <w:rsid w:val="006B7D23"/>
    <w:rsid w:val="006C05C6"/>
    <w:rsid w:val="006C06EA"/>
    <w:rsid w:val="006C20A7"/>
    <w:rsid w:val="006C2F47"/>
    <w:rsid w:val="006C4345"/>
    <w:rsid w:val="006C4A90"/>
    <w:rsid w:val="006C53E0"/>
    <w:rsid w:val="006C64D3"/>
    <w:rsid w:val="006D023B"/>
    <w:rsid w:val="006D03DF"/>
    <w:rsid w:val="006D148B"/>
    <w:rsid w:val="006D1F48"/>
    <w:rsid w:val="006D2A53"/>
    <w:rsid w:val="006D325A"/>
    <w:rsid w:val="006D4EE4"/>
    <w:rsid w:val="006D51EE"/>
    <w:rsid w:val="006D5630"/>
    <w:rsid w:val="006D5A67"/>
    <w:rsid w:val="006D610B"/>
    <w:rsid w:val="006D6E0A"/>
    <w:rsid w:val="006E1860"/>
    <w:rsid w:val="006E3448"/>
    <w:rsid w:val="006E4663"/>
    <w:rsid w:val="006E473F"/>
    <w:rsid w:val="006E524C"/>
    <w:rsid w:val="006E5D26"/>
    <w:rsid w:val="006E5D2D"/>
    <w:rsid w:val="006E679E"/>
    <w:rsid w:val="006F04D4"/>
    <w:rsid w:val="006F10D9"/>
    <w:rsid w:val="006F2CB0"/>
    <w:rsid w:val="006F31A9"/>
    <w:rsid w:val="006F389C"/>
    <w:rsid w:val="006F38AC"/>
    <w:rsid w:val="006F43D1"/>
    <w:rsid w:val="006F5559"/>
    <w:rsid w:val="006F744C"/>
    <w:rsid w:val="006F7FE7"/>
    <w:rsid w:val="00701AE0"/>
    <w:rsid w:val="00702358"/>
    <w:rsid w:val="00702714"/>
    <w:rsid w:val="00703344"/>
    <w:rsid w:val="007034A1"/>
    <w:rsid w:val="007035D1"/>
    <w:rsid w:val="00703EA3"/>
    <w:rsid w:val="00705CE0"/>
    <w:rsid w:val="007069F3"/>
    <w:rsid w:val="00706C65"/>
    <w:rsid w:val="00710A83"/>
    <w:rsid w:val="00711814"/>
    <w:rsid w:val="0071212C"/>
    <w:rsid w:val="00713305"/>
    <w:rsid w:val="007133A5"/>
    <w:rsid w:val="00713571"/>
    <w:rsid w:val="007168B6"/>
    <w:rsid w:val="007170DA"/>
    <w:rsid w:val="007179D0"/>
    <w:rsid w:val="007215C5"/>
    <w:rsid w:val="0072167E"/>
    <w:rsid w:val="0072255B"/>
    <w:rsid w:val="0072270F"/>
    <w:rsid w:val="0072279C"/>
    <w:rsid w:val="00723F4B"/>
    <w:rsid w:val="00724751"/>
    <w:rsid w:val="00724BBF"/>
    <w:rsid w:val="007250B5"/>
    <w:rsid w:val="007251C2"/>
    <w:rsid w:val="00726B72"/>
    <w:rsid w:val="007310A9"/>
    <w:rsid w:val="00732480"/>
    <w:rsid w:val="00732BA8"/>
    <w:rsid w:val="00732DB5"/>
    <w:rsid w:val="007330D1"/>
    <w:rsid w:val="00733943"/>
    <w:rsid w:val="007357AF"/>
    <w:rsid w:val="00735BE4"/>
    <w:rsid w:val="007365A2"/>
    <w:rsid w:val="0073675E"/>
    <w:rsid w:val="007407C4"/>
    <w:rsid w:val="00743F16"/>
    <w:rsid w:val="00744394"/>
    <w:rsid w:val="0074466D"/>
    <w:rsid w:val="00744CEA"/>
    <w:rsid w:val="00747B72"/>
    <w:rsid w:val="00747C18"/>
    <w:rsid w:val="00750134"/>
    <w:rsid w:val="0075088B"/>
    <w:rsid w:val="0075128D"/>
    <w:rsid w:val="007516CB"/>
    <w:rsid w:val="00752149"/>
    <w:rsid w:val="007523BB"/>
    <w:rsid w:val="00752661"/>
    <w:rsid w:val="00754710"/>
    <w:rsid w:val="00755296"/>
    <w:rsid w:val="007552B6"/>
    <w:rsid w:val="00755B17"/>
    <w:rsid w:val="00755D2B"/>
    <w:rsid w:val="007566A1"/>
    <w:rsid w:val="00756AD7"/>
    <w:rsid w:val="007619F0"/>
    <w:rsid w:val="00761CEC"/>
    <w:rsid w:val="007645F0"/>
    <w:rsid w:val="00764C62"/>
    <w:rsid w:val="00765022"/>
    <w:rsid w:val="00765054"/>
    <w:rsid w:val="00766D06"/>
    <w:rsid w:val="0076749F"/>
    <w:rsid w:val="00770242"/>
    <w:rsid w:val="00771FA3"/>
    <w:rsid w:val="00772B28"/>
    <w:rsid w:val="007738EA"/>
    <w:rsid w:val="0077423A"/>
    <w:rsid w:val="0077432E"/>
    <w:rsid w:val="00774609"/>
    <w:rsid w:val="00775954"/>
    <w:rsid w:val="00776983"/>
    <w:rsid w:val="0077699D"/>
    <w:rsid w:val="00781EEA"/>
    <w:rsid w:val="00781FD1"/>
    <w:rsid w:val="00782956"/>
    <w:rsid w:val="00783F9B"/>
    <w:rsid w:val="00784167"/>
    <w:rsid w:val="007845CC"/>
    <w:rsid w:val="00784E5E"/>
    <w:rsid w:val="00785EE0"/>
    <w:rsid w:val="00786A38"/>
    <w:rsid w:val="00786B8E"/>
    <w:rsid w:val="00787971"/>
    <w:rsid w:val="00787CFF"/>
    <w:rsid w:val="00790B65"/>
    <w:rsid w:val="00791AD5"/>
    <w:rsid w:val="00791BBA"/>
    <w:rsid w:val="00792102"/>
    <w:rsid w:val="00792A8F"/>
    <w:rsid w:val="00792FB6"/>
    <w:rsid w:val="007937AE"/>
    <w:rsid w:val="00795957"/>
    <w:rsid w:val="007965FE"/>
    <w:rsid w:val="00796B9F"/>
    <w:rsid w:val="00796FE9"/>
    <w:rsid w:val="00797686"/>
    <w:rsid w:val="00797D5F"/>
    <w:rsid w:val="007A03AD"/>
    <w:rsid w:val="007A15D0"/>
    <w:rsid w:val="007A19FB"/>
    <w:rsid w:val="007A2AA9"/>
    <w:rsid w:val="007A311F"/>
    <w:rsid w:val="007A3353"/>
    <w:rsid w:val="007A465B"/>
    <w:rsid w:val="007A49A7"/>
    <w:rsid w:val="007A5567"/>
    <w:rsid w:val="007A588B"/>
    <w:rsid w:val="007A5BCB"/>
    <w:rsid w:val="007B012F"/>
    <w:rsid w:val="007B06B8"/>
    <w:rsid w:val="007B0751"/>
    <w:rsid w:val="007B0CAA"/>
    <w:rsid w:val="007B1D9E"/>
    <w:rsid w:val="007B1EEC"/>
    <w:rsid w:val="007B1F69"/>
    <w:rsid w:val="007B20DE"/>
    <w:rsid w:val="007B2495"/>
    <w:rsid w:val="007B2A5D"/>
    <w:rsid w:val="007B3918"/>
    <w:rsid w:val="007B3998"/>
    <w:rsid w:val="007B3B06"/>
    <w:rsid w:val="007B41F7"/>
    <w:rsid w:val="007B518B"/>
    <w:rsid w:val="007B5A73"/>
    <w:rsid w:val="007C097F"/>
    <w:rsid w:val="007C1332"/>
    <w:rsid w:val="007C14F7"/>
    <w:rsid w:val="007C1770"/>
    <w:rsid w:val="007C29E9"/>
    <w:rsid w:val="007C3DB7"/>
    <w:rsid w:val="007C47E7"/>
    <w:rsid w:val="007C4EA4"/>
    <w:rsid w:val="007C55EE"/>
    <w:rsid w:val="007C5D37"/>
    <w:rsid w:val="007C5DDD"/>
    <w:rsid w:val="007C61E1"/>
    <w:rsid w:val="007C6517"/>
    <w:rsid w:val="007C75DB"/>
    <w:rsid w:val="007D08F1"/>
    <w:rsid w:val="007D2094"/>
    <w:rsid w:val="007D2537"/>
    <w:rsid w:val="007D2A66"/>
    <w:rsid w:val="007D2B84"/>
    <w:rsid w:val="007D3672"/>
    <w:rsid w:val="007D4AB8"/>
    <w:rsid w:val="007D58DE"/>
    <w:rsid w:val="007D636D"/>
    <w:rsid w:val="007D709F"/>
    <w:rsid w:val="007D7ED1"/>
    <w:rsid w:val="007E0357"/>
    <w:rsid w:val="007E15D4"/>
    <w:rsid w:val="007E165C"/>
    <w:rsid w:val="007E184C"/>
    <w:rsid w:val="007E49C6"/>
    <w:rsid w:val="007E5199"/>
    <w:rsid w:val="007E5793"/>
    <w:rsid w:val="007E65C5"/>
    <w:rsid w:val="007E7B5B"/>
    <w:rsid w:val="007E7D40"/>
    <w:rsid w:val="007E7E0C"/>
    <w:rsid w:val="007F030D"/>
    <w:rsid w:val="007F2247"/>
    <w:rsid w:val="007F2661"/>
    <w:rsid w:val="007F32FF"/>
    <w:rsid w:val="007F35C6"/>
    <w:rsid w:val="007F39C2"/>
    <w:rsid w:val="007F50CF"/>
    <w:rsid w:val="007F5A30"/>
    <w:rsid w:val="007F70D8"/>
    <w:rsid w:val="007F712B"/>
    <w:rsid w:val="008016F8"/>
    <w:rsid w:val="0080267A"/>
    <w:rsid w:val="0080304B"/>
    <w:rsid w:val="008031C8"/>
    <w:rsid w:val="008043CF"/>
    <w:rsid w:val="008044D4"/>
    <w:rsid w:val="00804663"/>
    <w:rsid w:val="008047A5"/>
    <w:rsid w:val="008047CE"/>
    <w:rsid w:val="00804B2A"/>
    <w:rsid w:val="00805511"/>
    <w:rsid w:val="00806881"/>
    <w:rsid w:val="008069A3"/>
    <w:rsid w:val="008074EF"/>
    <w:rsid w:val="008079E4"/>
    <w:rsid w:val="00810902"/>
    <w:rsid w:val="00810991"/>
    <w:rsid w:val="00811B5E"/>
    <w:rsid w:val="00811BD9"/>
    <w:rsid w:val="00811D91"/>
    <w:rsid w:val="0081230E"/>
    <w:rsid w:val="008123B8"/>
    <w:rsid w:val="00813B09"/>
    <w:rsid w:val="008159EB"/>
    <w:rsid w:val="00817692"/>
    <w:rsid w:val="00817FE3"/>
    <w:rsid w:val="00820416"/>
    <w:rsid w:val="00822FE5"/>
    <w:rsid w:val="008236E6"/>
    <w:rsid w:val="00824152"/>
    <w:rsid w:val="00824559"/>
    <w:rsid w:val="00824CB2"/>
    <w:rsid w:val="008251E6"/>
    <w:rsid w:val="008253A2"/>
    <w:rsid w:val="00826054"/>
    <w:rsid w:val="0082678B"/>
    <w:rsid w:val="008306AE"/>
    <w:rsid w:val="0083152F"/>
    <w:rsid w:val="008318C4"/>
    <w:rsid w:val="00832890"/>
    <w:rsid w:val="00832951"/>
    <w:rsid w:val="00832E0D"/>
    <w:rsid w:val="00833592"/>
    <w:rsid w:val="00834427"/>
    <w:rsid w:val="008344A8"/>
    <w:rsid w:val="008346E2"/>
    <w:rsid w:val="008350C0"/>
    <w:rsid w:val="0083548A"/>
    <w:rsid w:val="00836996"/>
    <w:rsid w:val="00837275"/>
    <w:rsid w:val="00837D13"/>
    <w:rsid w:val="0084044F"/>
    <w:rsid w:val="008412D6"/>
    <w:rsid w:val="0084186A"/>
    <w:rsid w:val="008418BA"/>
    <w:rsid w:val="00842775"/>
    <w:rsid w:val="008442B7"/>
    <w:rsid w:val="00845636"/>
    <w:rsid w:val="00846EB5"/>
    <w:rsid w:val="0085018C"/>
    <w:rsid w:val="008508EC"/>
    <w:rsid w:val="00850DF4"/>
    <w:rsid w:val="008511EF"/>
    <w:rsid w:val="0085141E"/>
    <w:rsid w:val="00852292"/>
    <w:rsid w:val="00852E88"/>
    <w:rsid w:val="00853568"/>
    <w:rsid w:val="00855012"/>
    <w:rsid w:val="00855302"/>
    <w:rsid w:val="00857E63"/>
    <w:rsid w:val="00857F1F"/>
    <w:rsid w:val="00860373"/>
    <w:rsid w:val="008616E7"/>
    <w:rsid w:val="008619A4"/>
    <w:rsid w:val="00865398"/>
    <w:rsid w:val="008669E8"/>
    <w:rsid w:val="00866C7B"/>
    <w:rsid w:val="00866CFC"/>
    <w:rsid w:val="008708ED"/>
    <w:rsid w:val="00870C74"/>
    <w:rsid w:val="0087189A"/>
    <w:rsid w:val="00871A66"/>
    <w:rsid w:val="00872601"/>
    <w:rsid w:val="00872E92"/>
    <w:rsid w:val="00873EC2"/>
    <w:rsid w:val="0087411E"/>
    <w:rsid w:val="008741E7"/>
    <w:rsid w:val="008750DB"/>
    <w:rsid w:val="00875271"/>
    <w:rsid w:val="00880452"/>
    <w:rsid w:val="0088087C"/>
    <w:rsid w:val="00880DE0"/>
    <w:rsid w:val="0088163F"/>
    <w:rsid w:val="00882452"/>
    <w:rsid w:val="0088361C"/>
    <w:rsid w:val="0088389A"/>
    <w:rsid w:val="00883B38"/>
    <w:rsid w:val="00884D8B"/>
    <w:rsid w:val="008867D1"/>
    <w:rsid w:val="008871F1"/>
    <w:rsid w:val="008906E6"/>
    <w:rsid w:val="00890D52"/>
    <w:rsid w:val="00890F62"/>
    <w:rsid w:val="00890F77"/>
    <w:rsid w:val="00891145"/>
    <w:rsid w:val="008915C9"/>
    <w:rsid w:val="00892764"/>
    <w:rsid w:val="00892EEE"/>
    <w:rsid w:val="0089318F"/>
    <w:rsid w:val="00893D80"/>
    <w:rsid w:val="008952A7"/>
    <w:rsid w:val="00896A6B"/>
    <w:rsid w:val="008A0B50"/>
    <w:rsid w:val="008A0F49"/>
    <w:rsid w:val="008A1F15"/>
    <w:rsid w:val="008A20C1"/>
    <w:rsid w:val="008A287C"/>
    <w:rsid w:val="008A2A54"/>
    <w:rsid w:val="008A4072"/>
    <w:rsid w:val="008A41BB"/>
    <w:rsid w:val="008A41C3"/>
    <w:rsid w:val="008A5027"/>
    <w:rsid w:val="008A560A"/>
    <w:rsid w:val="008A6022"/>
    <w:rsid w:val="008A74B5"/>
    <w:rsid w:val="008A7567"/>
    <w:rsid w:val="008A78A0"/>
    <w:rsid w:val="008A7D4F"/>
    <w:rsid w:val="008B0808"/>
    <w:rsid w:val="008B3800"/>
    <w:rsid w:val="008B3B3F"/>
    <w:rsid w:val="008B3D69"/>
    <w:rsid w:val="008B48B3"/>
    <w:rsid w:val="008B4AA9"/>
    <w:rsid w:val="008B5004"/>
    <w:rsid w:val="008B60B9"/>
    <w:rsid w:val="008B64CC"/>
    <w:rsid w:val="008C0C0F"/>
    <w:rsid w:val="008C0CA0"/>
    <w:rsid w:val="008C1E3C"/>
    <w:rsid w:val="008C21AA"/>
    <w:rsid w:val="008C3B02"/>
    <w:rsid w:val="008C3C1B"/>
    <w:rsid w:val="008C3C2B"/>
    <w:rsid w:val="008C4519"/>
    <w:rsid w:val="008C4FDB"/>
    <w:rsid w:val="008C6B97"/>
    <w:rsid w:val="008C6C9E"/>
    <w:rsid w:val="008C6CAE"/>
    <w:rsid w:val="008C7316"/>
    <w:rsid w:val="008C7D3E"/>
    <w:rsid w:val="008D0EAA"/>
    <w:rsid w:val="008D0F3E"/>
    <w:rsid w:val="008D16FD"/>
    <w:rsid w:val="008D176C"/>
    <w:rsid w:val="008D1C97"/>
    <w:rsid w:val="008D4B9F"/>
    <w:rsid w:val="008D552F"/>
    <w:rsid w:val="008D71D0"/>
    <w:rsid w:val="008E0D11"/>
    <w:rsid w:val="008E0D61"/>
    <w:rsid w:val="008E1357"/>
    <w:rsid w:val="008E17AE"/>
    <w:rsid w:val="008E1B7A"/>
    <w:rsid w:val="008E1E37"/>
    <w:rsid w:val="008E384B"/>
    <w:rsid w:val="008E3BC8"/>
    <w:rsid w:val="008E433B"/>
    <w:rsid w:val="008E5004"/>
    <w:rsid w:val="008E5383"/>
    <w:rsid w:val="008E57A9"/>
    <w:rsid w:val="008E6D76"/>
    <w:rsid w:val="008F0197"/>
    <w:rsid w:val="008F0617"/>
    <w:rsid w:val="008F1DDC"/>
    <w:rsid w:val="008F299F"/>
    <w:rsid w:val="008F3A5F"/>
    <w:rsid w:val="008F4E6D"/>
    <w:rsid w:val="008F6856"/>
    <w:rsid w:val="008F6DAF"/>
    <w:rsid w:val="008F74C6"/>
    <w:rsid w:val="009010A2"/>
    <w:rsid w:val="009027E9"/>
    <w:rsid w:val="00902D6D"/>
    <w:rsid w:val="009031FC"/>
    <w:rsid w:val="0090497E"/>
    <w:rsid w:val="009055F5"/>
    <w:rsid w:val="00906AAC"/>
    <w:rsid w:val="00907FA7"/>
    <w:rsid w:val="009115BF"/>
    <w:rsid w:val="00912793"/>
    <w:rsid w:val="0091364D"/>
    <w:rsid w:val="00914528"/>
    <w:rsid w:val="00915E1E"/>
    <w:rsid w:val="00915F79"/>
    <w:rsid w:val="009162F3"/>
    <w:rsid w:val="00916D24"/>
    <w:rsid w:val="009204BD"/>
    <w:rsid w:val="00920C1F"/>
    <w:rsid w:val="00921B57"/>
    <w:rsid w:val="00922521"/>
    <w:rsid w:val="00922B74"/>
    <w:rsid w:val="00922BC5"/>
    <w:rsid w:val="00922E2C"/>
    <w:rsid w:val="009234FD"/>
    <w:rsid w:val="009235BD"/>
    <w:rsid w:val="00923E43"/>
    <w:rsid w:val="00924B47"/>
    <w:rsid w:val="00924CB6"/>
    <w:rsid w:val="00925077"/>
    <w:rsid w:val="00925198"/>
    <w:rsid w:val="00927A89"/>
    <w:rsid w:val="0093340F"/>
    <w:rsid w:val="00933C13"/>
    <w:rsid w:val="00934005"/>
    <w:rsid w:val="009360B3"/>
    <w:rsid w:val="00937FEA"/>
    <w:rsid w:val="00941587"/>
    <w:rsid w:val="009415AF"/>
    <w:rsid w:val="00941816"/>
    <w:rsid w:val="009418FB"/>
    <w:rsid w:val="00942BD5"/>
    <w:rsid w:val="00943076"/>
    <w:rsid w:val="00944ABD"/>
    <w:rsid w:val="00945B65"/>
    <w:rsid w:val="00946A1B"/>
    <w:rsid w:val="00947F6C"/>
    <w:rsid w:val="00950857"/>
    <w:rsid w:val="00950DC6"/>
    <w:rsid w:val="00951825"/>
    <w:rsid w:val="00951ABA"/>
    <w:rsid w:val="00952CDF"/>
    <w:rsid w:val="0095381A"/>
    <w:rsid w:val="00954D54"/>
    <w:rsid w:val="00954D82"/>
    <w:rsid w:val="00955062"/>
    <w:rsid w:val="00956422"/>
    <w:rsid w:val="00957245"/>
    <w:rsid w:val="00957A7D"/>
    <w:rsid w:val="00957DC1"/>
    <w:rsid w:val="0096023B"/>
    <w:rsid w:val="009604D3"/>
    <w:rsid w:val="00960C34"/>
    <w:rsid w:val="00961391"/>
    <w:rsid w:val="0096201D"/>
    <w:rsid w:val="00962DD8"/>
    <w:rsid w:val="009631A3"/>
    <w:rsid w:val="0096336B"/>
    <w:rsid w:val="00964DC0"/>
    <w:rsid w:val="009655B7"/>
    <w:rsid w:val="00965699"/>
    <w:rsid w:val="009656CA"/>
    <w:rsid w:val="00965BAA"/>
    <w:rsid w:val="00965BEB"/>
    <w:rsid w:val="009667A5"/>
    <w:rsid w:val="009668FC"/>
    <w:rsid w:val="00967794"/>
    <w:rsid w:val="00967AB5"/>
    <w:rsid w:val="00967C1D"/>
    <w:rsid w:val="00970229"/>
    <w:rsid w:val="009703E8"/>
    <w:rsid w:val="009718EB"/>
    <w:rsid w:val="00971D10"/>
    <w:rsid w:val="00971D5C"/>
    <w:rsid w:val="0097261F"/>
    <w:rsid w:val="00972629"/>
    <w:rsid w:val="00973474"/>
    <w:rsid w:val="00973629"/>
    <w:rsid w:val="00973887"/>
    <w:rsid w:val="0097422E"/>
    <w:rsid w:val="0097494D"/>
    <w:rsid w:val="00974C2C"/>
    <w:rsid w:val="00975CC3"/>
    <w:rsid w:val="00977270"/>
    <w:rsid w:val="00980999"/>
    <w:rsid w:val="00982314"/>
    <w:rsid w:val="00982CA3"/>
    <w:rsid w:val="00984DB5"/>
    <w:rsid w:val="00985626"/>
    <w:rsid w:val="009861A1"/>
    <w:rsid w:val="00986DD5"/>
    <w:rsid w:val="00986E67"/>
    <w:rsid w:val="00986F03"/>
    <w:rsid w:val="00987931"/>
    <w:rsid w:val="00987A33"/>
    <w:rsid w:val="00987F50"/>
    <w:rsid w:val="00990D5F"/>
    <w:rsid w:val="00996288"/>
    <w:rsid w:val="009962BE"/>
    <w:rsid w:val="0099758F"/>
    <w:rsid w:val="009978B8"/>
    <w:rsid w:val="009978D7"/>
    <w:rsid w:val="009A05B1"/>
    <w:rsid w:val="009A0674"/>
    <w:rsid w:val="009A0E28"/>
    <w:rsid w:val="009A115F"/>
    <w:rsid w:val="009A123E"/>
    <w:rsid w:val="009A164F"/>
    <w:rsid w:val="009A1EB2"/>
    <w:rsid w:val="009A3691"/>
    <w:rsid w:val="009A3A21"/>
    <w:rsid w:val="009A49E6"/>
    <w:rsid w:val="009A53BC"/>
    <w:rsid w:val="009A5F97"/>
    <w:rsid w:val="009A6162"/>
    <w:rsid w:val="009A622E"/>
    <w:rsid w:val="009A7CE3"/>
    <w:rsid w:val="009B0343"/>
    <w:rsid w:val="009B07B0"/>
    <w:rsid w:val="009B0D0E"/>
    <w:rsid w:val="009B0E3A"/>
    <w:rsid w:val="009B2542"/>
    <w:rsid w:val="009B33A9"/>
    <w:rsid w:val="009B34C7"/>
    <w:rsid w:val="009B518F"/>
    <w:rsid w:val="009B52B5"/>
    <w:rsid w:val="009B554E"/>
    <w:rsid w:val="009B5894"/>
    <w:rsid w:val="009B5CBD"/>
    <w:rsid w:val="009B65B9"/>
    <w:rsid w:val="009B794E"/>
    <w:rsid w:val="009C13CC"/>
    <w:rsid w:val="009C1485"/>
    <w:rsid w:val="009C28A8"/>
    <w:rsid w:val="009C3372"/>
    <w:rsid w:val="009C3939"/>
    <w:rsid w:val="009C587C"/>
    <w:rsid w:val="009C60AC"/>
    <w:rsid w:val="009C685E"/>
    <w:rsid w:val="009C76A4"/>
    <w:rsid w:val="009C7B43"/>
    <w:rsid w:val="009D0001"/>
    <w:rsid w:val="009D06AB"/>
    <w:rsid w:val="009D1366"/>
    <w:rsid w:val="009D1F56"/>
    <w:rsid w:val="009D2520"/>
    <w:rsid w:val="009D345F"/>
    <w:rsid w:val="009D37B8"/>
    <w:rsid w:val="009D3F55"/>
    <w:rsid w:val="009D587B"/>
    <w:rsid w:val="009D5C11"/>
    <w:rsid w:val="009D6699"/>
    <w:rsid w:val="009D6FA6"/>
    <w:rsid w:val="009D6FB5"/>
    <w:rsid w:val="009D72C4"/>
    <w:rsid w:val="009D7D5A"/>
    <w:rsid w:val="009E072F"/>
    <w:rsid w:val="009E07E3"/>
    <w:rsid w:val="009E193E"/>
    <w:rsid w:val="009E2007"/>
    <w:rsid w:val="009E2840"/>
    <w:rsid w:val="009E2EFA"/>
    <w:rsid w:val="009E4235"/>
    <w:rsid w:val="009E428D"/>
    <w:rsid w:val="009E4959"/>
    <w:rsid w:val="009E7CB4"/>
    <w:rsid w:val="009F064F"/>
    <w:rsid w:val="009F0889"/>
    <w:rsid w:val="009F1C34"/>
    <w:rsid w:val="009F1D19"/>
    <w:rsid w:val="009F2F75"/>
    <w:rsid w:val="009F327C"/>
    <w:rsid w:val="009F3F49"/>
    <w:rsid w:val="009F460B"/>
    <w:rsid w:val="009F4654"/>
    <w:rsid w:val="009F7B6E"/>
    <w:rsid w:val="00A0000A"/>
    <w:rsid w:val="00A00567"/>
    <w:rsid w:val="00A00E82"/>
    <w:rsid w:val="00A00FA8"/>
    <w:rsid w:val="00A0149C"/>
    <w:rsid w:val="00A01B82"/>
    <w:rsid w:val="00A0226E"/>
    <w:rsid w:val="00A025F9"/>
    <w:rsid w:val="00A02C63"/>
    <w:rsid w:val="00A02E0E"/>
    <w:rsid w:val="00A03580"/>
    <w:rsid w:val="00A03900"/>
    <w:rsid w:val="00A03D35"/>
    <w:rsid w:val="00A03EFB"/>
    <w:rsid w:val="00A06010"/>
    <w:rsid w:val="00A1045D"/>
    <w:rsid w:val="00A105B4"/>
    <w:rsid w:val="00A10944"/>
    <w:rsid w:val="00A1272B"/>
    <w:rsid w:val="00A128B5"/>
    <w:rsid w:val="00A1322E"/>
    <w:rsid w:val="00A13BAB"/>
    <w:rsid w:val="00A140D0"/>
    <w:rsid w:val="00A1463F"/>
    <w:rsid w:val="00A150C2"/>
    <w:rsid w:val="00A15519"/>
    <w:rsid w:val="00A15A00"/>
    <w:rsid w:val="00A164C0"/>
    <w:rsid w:val="00A17097"/>
    <w:rsid w:val="00A172EE"/>
    <w:rsid w:val="00A202E1"/>
    <w:rsid w:val="00A2126A"/>
    <w:rsid w:val="00A21799"/>
    <w:rsid w:val="00A2309C"/>
    <w:rsid w:val="00A237B5"/>
    <w:rsid w:val="00A24716"/>
    <w:rsid w:val="00A26C8E"/>
    <w:rsid w:val="00A2730E"/>
    <w:rsid w:val="00A27F63"/>
    <w:rsid w:val="00A3003A"/>
    <w:rsid w:val="00A30409"/>
    <w:rsid w:val="00A3049E"/>
    <w:rsid w:val="00A3156B"/>
    <w:rsid w:val="00A31C29"/>
    <w:rsid w:val="00A32024"/>
    <w:rsid w:val="00A32C22"/>
    <w:rsid w:val="00A33168"/>
    <w:rsid w:val="00A33855"/>
    <w:rsid w:val="00A341A7"/>
    <w:rsid w:val="00A34675"/>
    <w:rsid w:val="00A347C4"/>
    <w:rsid w:val="00A355D4"/>
    <w:rsid w:val="00A35971"/>
    <w:rsid w:val="00A35FF5"/>
    <w:rsid w:val="00A36C25"/>
    <w:rsid w:val="00A36D2F"/>
    <w:rsid w:val="00A371E4"/>
    <w:rsid w:val="00A40679"/>
    <w:rsid w:val="00A40A05"/>
    <w:rsid w:val="00A40A51"/>
    <w:rsid w:val="00A42505"/>
    <w:rsid w:val="00A439D7"/>
    <w:rsid w:val="00A43E5B"/>
    <w:rsid w:val="00A44FFE"/>
    <w:rsid w:val="00A4638F"/>
    <w:rsid w:val="00A4663A"/>
    <w:rsid w:val="00A46979"/>
    <w:rsid w:val="00A46A5D"/>
    <w:rsid w:val="00A46B96"/>
    <w:rsid w:val="00A47725"/>
    <w:rsid w:val="00A509D5"/>
    <w:rsid w:val="00A50BF3"/>
    <w:rsid w:val="00A5104B"/>
    <w:rsid w:val="00A512DF"/>
    <w:rsid w:val="00A5138F"/>
    <w:rsid w:val="00A53A09"/>
    <w:rsid w:val="00A53E79"/>
    <w:rsid w:val="00A54D48"/>
    <w:rsid w:val="00A54DAF"/>
    <w:rsid w:val="00A5572F"/>
    <w:rsid w:val="00A572F6"/>
    <w:rsid w:val="00A5737B"/>
    <w:rsid w:val="00A57498"/>
    <w:rsid w:val="00A57A95"/>
    <w:rsid w:val="00A6013E"/>
    <w:rsid w:val="00A612A9"/>
    <w:rsid w:val="00A6242C"/>
    <w:rsid w:val="00A62CB1"/>
    <w:rsid w:val="00A62F09"/>
    <w:rsid w:val="00A63775"/>
    <w:rsid w:val="00A63B89"/>
    <w:rsid w:val="00A64118"/>
    <w:rsid w:val="00A64850"/>
    <w:rsid w:val="00A64A81"/>
    <w:rsid w:val="00A650CF"/>
    <w:rsid w:val="00A660EF"/>
    <w:rsid w:val="00A675C0"/>
    <w:rsid w:val="00A67D35"/>
    <w:rsid w:val="00A700D8"/>
    <w:rsid w:val="00A70B51"/>
    <w:rsid w:val="00A711FF"/>
    <w:rsid w:val="00A71B75"/>
    <w:rsid w:val="00A71E64"/>
    <w:rsid w:val="00A73B34"/>
    <w:rsid w:val="00A74467"/>
    <w:rsid w:val="00A744D7"/>
    <w:rsid w:val="00A74A0D"/>
    <w:rsid w:val="00A74E36"/>
    <w:rsid w:val="00A752B0"/>
    <w:rsid w:val="00A763E9"/>
    <w:rsid w:val="00A76E33"/>
    <w:rsid w:val="00A779D0"/>
    <w:rsid w:val="00A77D52"/>
    <w:rsid w:val="00A80A17"/>
    <w:rsid w:val="00A80DBE"/>
    <w:rsid w:val="00A822EE"/>
    <w:rsid w:val="00A83F69"/>
    <w:rsid w:val="00A8446E"/>
    <w:rsid w:val="00A8479A"/>
    <w:rsid w:val="00A8497C"/>
    <w:rsid w:val="00A84B80"/>
    <w:rsid w:val="00A872C6"/>
    <w:rsid w:val="00A90125"/>
    <w:rsid w:val="00A902D2"/>
    <w:rsid w:val="00A9118E"/>
    <w:rsid w:val="00A9124F"/>
    <w:rsid w:val="00A919B6"/>
    <w:rsid w:val="00A91FC9"/>
    <w:rsid w:val="00A92293"/>
    <w:rsid w:val="00A92490"/>
    <w:rsid w:val="00A92FB6"/>
    <w:rsid w:val="00A93BF8"/>
    <w:rsid w:val="00A93EF7"/>
    <w:rsid w:val="00A93F9F"/>
    <w:rsid w:val="00A95399"/>
    <w:rsid w:val="00A95464"/>
    <w:rsid w:val="00A96306"/>
    <w:rsid w:val="00A97930"/>
    <w:rsid w:val="00A97B05"/>
    <w:rsid w:val="00A97D4F"/>
    <w:rsid w:val="00AA08FD"/>
    <w:rsid w:val="00AA123F"/>
    <w:rsid w:val="00AA1B47"/>
    <w:rsid w:val="00AA1B94"/>
    <w:rsid w:val="00AA238F"/>
    <w:rsid w:val="00AA23F6"/>
    <w:rsid w:val="00AA3479"/>
    <w:rsid w:val="00AA3638"/>
    <w:rsid w:val="00AA44A9"/>
    <w:rsid w:val="00AA54A4"/>
    <w:rsid w:val="00AA54E7"/>
    <w:rsid w:val="00AA68B5"/>
    <w:rsid w:val="00AA6AA1"/>
    <w:rsid w:val="00AA708D"/>
    <w:rsid w:val="00AB0AD5"/>
    <w:rsid w:val="00AB2FF2"/>
    <w:rsid w:val="00AB3AE9"/>
    <w:rsid w:val="00AB44CA"/>
    <w:rsid w:val="00AB48A9"/>
    <w:rsid w:val="00AB4F10"/>
    <w:rsid w:val="00AB5C4D"/>
    <w:rsid w:val="00AB7A94"/>
    <w:rsid w:val="00AC0266"/>
    <w:rsid w:val="00AC19BB"/>
    <w:rsid w:val="00AC303E"/>
    <w:rsid w:val="00AC4144"/>
    <w:rsid w:val="00AC7365"/>
    <w:rsid w:val="00AD06C6"/>
    <w:rsid w:val="00AD0B11"/>
    <w:rsid w:val="00AD0D38"/>
    <w:rsid w:val="00AD10E1"/>
    <w:rsid w:val="00AD1C5D"/>
    <w:rsid w:val="00AD274E"/>
    <w:rsid w:val="00AD2808"/>
    <w:rsid w:val="00AD2CBF"/>
    <w:rsid w:val="00AD2EF0"/>
    <w:rsid w:val="00AD3A89"/>
    <w:rsid w:val="00AD3E0D"/>
    <w:rsid w:val="00AD4187"/>
    <w:rsid w:val="00AD59C4"/>
    <w:rsid w:val="00AD5BBE"/>
    <w:rsid w:val="00AD5F4C"/>
    <w:rsid w:val="00AD6E45"/>
    <w:rsid w:val="00AE1B38"/>
    <w:rsid w:val="00AE21E7"/>
    <w:rsid w:val="00AE22C0"/>
    <w:rsid w:val="00AE32AD"/>
    <w:rsid w:val="00AE4DBA"/>
    <w:rsid w:val="00AE6F4B"/>
    <w:rsid w:val="00AE7645"/>
    <w:rsid w:val="00AE77ED"/>
    <w:rsid w:val="00AF05B5"/>
    <w:rsid w:val="00AF20F9"/>
    <w:rsid w:val="00AF2FCB"/>
    <w:rsid w:val="00AF3185"/>
    <w:rsid w:val="00AF3439"/>
    <w:rsid w:val="00AF3F19"/>
    <w:rsid w:val="00AF43E5"/>
    <w:rsid w:val="00AF5A2B"/>
    <w:rsid w:val="00AF7107"/>
    <w:rsid w:val="00AF7A3C"/>
    <w:rsid w:val="00AF7D5A"/>
    <w:rsid w:val="00B00078"/>
    <w:rsid w:val="00B001D0"/>
    <w:rsid w:val="00B0128F"/>
    <w:rsid w:val="00B01DB8"/>
    <w:rsid w:val="00B01ED9"/>
    <w:rsid w:val="00B02573"/>
    <w:rsid w:val="00B028F0"/>
    <w:rsid w:val="00B02B4A"/>
    <w:rsid w:val="00B04593"/>
    <w:rsid w:val="00B0508F"/>
    <w:rsid w:val="00B05102"/>
    <w:rsid w:val="00B053EC"/>
    <w:rsid w:val="00B05403"/>
    <w:rsid w:val="00B0675E"/>
    <w:rsid w:val="00B06B15"/>
    <w:rsid w:val="00B07539"/>
    <w:rsid w:val="00B07B82"/>
    <w:rsid w:val="00B100EB"/>
    <w:rsid w:val="00B10F85"/>
    <w:rsid w:val="00B12DE7"/>
    <w:rsid w:val="00B136A7"/>
    <w:rsid w:val="00B137D0"/>
    <w:rsid w:val="00B137ED"/>
    <w:rsid w:val="00B14025"/>
    <w:rsid w:val="00B147D8"/>
    <w:rsid w:val="00B15756"/>
    <w:rsid w:val="00B160A7"/>
    <w:rsid w:val="00B167CD"/>
    <w:rsid w:val="00B16DD5"/>
    <w:rsid w:val="00B17EB3"/>
    <w:rsid w:val="00B21E2A"/>
    <w:rsid w:val="00B21EB2"/>
    <w:rsid w:val="00B220D9"/>
    <w:rsid w:val="00B22251"/>
    <w:rsid w:val="00B2232F"/>
    <w:rsid w:val="00B225CC"/>
    <w:rsid w:val="00B22987"/>
    <w:rsid w:val="00B22CE5"/>
    <w:rsid w:val="00B23BAD"/>
    <w:rsid w:val="00B244A6"/>
    <w:rsid w:val="00B24690"/>
    <w:rsid w:val="00B24801"/>
    <w:rsid w:val="00B253A9"/>
    <w:rsid w:val="00B2580B"/>
    <w:rsid w:val="00B26221"/>
    <w:rsid w:val="00B30E91"/>
    <w:rsid w:val="00B310F5"/>
    <w:rsid w:val="00B319ED"/>
    <w:rsid w:val="00B33244"/>
    <w:rsid w:val="00B33639"/>
    <w:rsid w:val="00B3385F"/>
    <w:rsid w:val="00B34E34"/>
    <w:rsid w:val="00B35A27"/>
    <w:rsid w:val="00B35D95"/>
    <w:rsid w:val="00B35E2D"/>
    <w:rsid w:val="00B36290"/>
    <w:rsid w:val="00B36849"/>
    <w:rsid w:val="00B37C1A"/>
    <w:rsid w:val="00B37E9D"/>
    <w:rsid w:val="00B40FB6"/>
    <w:rsid w:val="00B41624"/>
    <w:rsid w:val="00B41FD3"/>
    <w:rsid w:val="00B422D2"/>
    <w:rsid w:val="00B423F0"/>
    <w:rsid w:val="00B42877"/>
    <w:rsid w:val="00B42BE7"/>
    <w:rsid w:val="00B42E54"/>
    <w:rsid w:val="00B441FA"/>
    <w:rsid w:val="00B44AFA"/>
    <w:rsid w:val="00B45322"/>
    <w:rsid w:val="00B465E7"/>
    <w:rsid w:val="00B476D5"/>
    <w:rsid w:val="00B47DBC"/>
    <w:rsid w:val="00B5138F"/>
    <w:rsid w:val="00B51665"/>
    <w:rsid w:val="00B52691"/>
    <w:rsid w:val="00B52C1D"/>
    <w:rsid w:val="00B53282"/>
    <w:rsid w:val="00B532AA"/>
    <w:rsid w:val="00B53322"/>
    <w:rsid w:val="00B53429"/>
    <w:rsid w:val="00B53A50"/>
    <w:rsid w:val="00B547BA"/>
    <w:rsid w:val="00B555DD"/>
    <w:rsid w:val="00B55BC0"/>
    <w:rsid w:val="00B57385"/>
    <w:rsid w:val="00B6086A"/>
    <w:rsid w:val="00B61B46"/>
    <w:rsid w:val="00B61F37"/>
    <w:rsid w:val="00B634DD"/>
    <w:rsid w:val="00B63885"/>
    <w:rsid w:val="00B63B2E"/>
    <w:rsid w:val="00B63CB3"/>
    <w:rsid w:val="00B63E0B"/>
    <w:rsid w:val="00B66524"/>
    <w:rsid w:val="00B671C9"/>
    <w:rsid w:val="00B672EB"/>
    <w:rsid w:val="00B67CF6"/>
    <w:rsid w:val="00B70BC8"/>
    <w:rsid w:val="00B71066"/>
    <w:rsid w:val="00B717BE"/>
    <w:rsid w:val="00B71A70"/>
    <w:rsid w:val="00B72A3F"/>
    <w:rsid w:val="00B72A41"/>
    <w:rsid w:val="00B73018"/>
    <w:rsid w:val="00B73634"/>
    <w:rsid w:val="00B7363F"/>
    <w:rsid w:val="00B73874"/>
    <w:rsid w:val="00B73BC9"/>
    <w:rsid w:val="00B745F3"/>
    <w:rsid w:val="00B74ABC"/>
    <w:rsid w:val="00B77F03"/>
    <w:rsid w:val="00B8066F"/>
    <w:rsid w:val="00B81C1A"/>
    <w:rsid w:val="00B81D56"/>
    <w:rsid w:val="00B82CD4"/>
    <w:rsid w:val="00B83302"/>
    <w:rsid w:val="00B83B63"/>
    <w:rsid w:val="00B83B65"/>
    <w:rsid w:val="00B84BE9"/>
    <w:rsid w:val="00B84EFB"/>
    <w:rsid w:val="00B85C3D"/>
    <w:rsid w:val="00B8618F"/>
    <w:rsid w:val="00B861B2"/>
    <w:rsid w:val="00B86897"/>
    <w:rsid w:val="00B86B12"/>
    <w:rsid w:val="00B87F73"/>
    <w:rsid w:val="00B91CBD"/>
    <w:rsid w:val="00B91E78"/>
    <w:rsid w:val="00B92078"/>
    <w:rsid w:val="00B92933"/>
    <w:rsid w:val="00B92C44"/>
    <w:rsid w:val="00B92E9F"/>
    <w:rsid w:val="00B92EE8"/>
    <w:rsid w:val="00B9344E"/>
    <w:rsid w:val="00B935F3"/>
    <w:rsid w:val="00B94116"/>
    <w:rsid w:val="00B963D1"/>
    <w:rsid w:val="00B96460"/>
    <w:rsid w:val="00B9676B"/>
    <w:rsid w:val="00B967DA"/>
    <w:rsid w:val="00B96CBE"/>
    <w:rsid w:val="00B9750D"/>
    <w:rsid w:val="00B97547"/>
    <w:rsid w:val="00BA0009"/>
    <w:rsid w:val="00BA04CF"/>
    <w:rsid w:val="00BA06E6"/>
    <w:rsid w:val="00BA0A3F"/>
    <w:rsid w:val="00BA0DC3"/>
    <w:rsid w:val="00BA1070"/>
    <w:rsid w:val="00BA1504"/>
    <w:rsid w:val="00BA2205"/>
    <w:rsid w:val="00BA35A8"/>
    <w:rsid w:val="00BA3697"/>
    <w:rsid w:val="00BA4959"/>
    <w:rsid w:val="00BA4F0A"/>
    <w:rsid w:val="00BA4F13"/>
    <w:rsid w:val="00BA5102"/>
    <w:rsid w:val="00BA52D7"/>
    <w:rsid w:val="00BA750F"/>
    <w:rsid w:val="00BA7ADC"/>
    <w:rsid w:val="00BA7D2B"/>
    <w:rsid w:val="00BB0A38"/>
    <w:rsid w:val="00BB184C"/>
    <w:rsid w:val="00BB28EC"/>
    <w:rsid w:val="00BB3409"/>
    <w:rsid w:val="00BB3874"/>
    <w:rsid w:val="00BB3C60"/>
    <w:rsid w:val="00BB4017"/>
    <w:rsid w:val="00BB4253"/>
    <w:rsid w:val="00BB53BB"/>
    <w:rsid w:val="00BB58A2"/>
    <w:rsid w:val="00BB63E9"/>
    <w:rsid w:val="00BB6D8F"/>
    <w:rsid w:val="00BB7C46"/>
    <w:rsid w:val="00BC0BFA"/>
    <w:rsid w:val="00BC0D93"/>
    <w:rsid w:val="00BC1B99"/>
    <w:rsid w:val="00BC2291"/>
    <w:rsid w:val="00BC38A4"/>
    <w:rsid w:val="00BC38A8"/>
    <w:rsid w:val="00BC407C"/>
    <w:rsid w:val="00BC4179"/>
    <w:rsid w:val="00BC476E"/>
    <w:rsid w:val="00BC4DAD"/>
    <w:rsid w:val="00BC710D"/>
    <w:rsid w:val="00BD0C52"/>
    <w:rsid w:val="00BD1423"/>
    <w:rsid w:val="00BD2449"/>
    <w:rsid w:val="00BD2FD3"/>
    <w:rsid w:val="00BD3ABA"/>
    <w:rsid w:val="00BD46FC"/>
    <w:rsid w:val="00BD575C"/>
    <w:rsid w:val="00BD5762"/>
    <w:rsid w:val="00BD5D12"/>
    <w:rsid w:val="00BD70D0"/>
    <w:rsid w:val="00BD7A0F"/>
    <w:rsid w:val="00BE059F"/>
    <w:rsid w:val="00BE05D1"/>
    <w:rsid w:val="00BE090C"/>
    <w:rsid w:val="00BE30AB"/>
    <w:rsid w:val="00BE476F"/>
    <w:rsid w:val="00BE4C90"/>
    <w:rsid w:val="00BE5578"/>
    <w:rsid w:val="00BE607E"/>
    <w:rsid w:val="00BE6705"/>
    <w:rsid w:val="00BE6DFE"/>
    <w:rsid w:val="00BE7522"/>
    <w:rsid w:val="00BF02D1"/>
    <w:rsid w:val="00BF10BD"/>
    <w:rsid w:val="00BF127E"/>
    <w:rsid w:val="00BF17BD"/>
    <w:rsid w:val="00BF29A1"/>
    <w:rsid w:val="00BF30FE"/>
    <w:rsid w:val="00BF58CE"/>
    <w:rsid w:val="00BF5ED6"/>
    <w:rsid w:val="00BF5FFB"/>
    <w:rsid w:val="00BF6098"/>
    <w:rsid w:val="00BF6C09"/>
    <w:rsid w:val="00BF7920"/>
    <w:rsid w:val="00BF7AD3"/>
    <w:rsid w:val="00BF7FBA"/>
    <w:rsid w:val="00C0146B"/>
    <w:rsid w:val="00C0167A"/>
    <w:rsid w:val="00C023C9"/>
    <w:rsid w:val="00C024E0"/>
    <w:rsid w:val="00C039C8"/>
    <w:rsid w:val="00C04154"/>
    <w:rsid w:val="00C042C9"/>
    <w:rsid w:val="00C0645F"/>
    <w:rsid w:val="00C07961"/>
    <w:rsid w:val="00C07A29"/>
    <w:rsid w:val="00C07B7A"/>
    <w:rsid w:val="00C102B2"/>
    <w:rsid w:val="00C103C6"/>
    <w:rsid w:val="00C10AC6"/>
    <w:rsid w:val="00C110BD"/>
    <w:rsid w:val="00C1152B"/>
    <w:rsid w:val="00C119FC"/>
    <w:rsid w:val="00C11C0E"/>
    <w:rsid w:val="00C11D7D"/>
    <w:rsid w:val="00C12ED8"/>
    <w:rsid w:val="00C134D4"/>
    <w:rsid w:val="00C148AD"/>
    <w:rsid w:val="00C149C1"/>
    <w:rsid w:val="00C14C03"/>
    <w:rsid w:val="00C14D07"/>
    <w:rsid w:val="00C15942"/>
    <w:rsid w:val="00C15F20"/>
    <w:rsid w:val="00C164F1"/>
    <w:rsid w:val="00C166C3"/>
    <w:rsid w:val="00C167E5"/>
    <w:rsid w:val="00C1782E"/>
    <w:rsid w:val="00C202CC"/>
    <w:rsid w:val="00C20847"/>
    <w:rsid w:val="00C209B8"/>
    <w:rsid w:val="00C20A97"/>
    <w:rsid w:val="00C20DA1"/>
    <w:rsid w:val="00C2259D"/>
    <w:rsid w:val="00C22F1E"/>
    <w:rsid w:val="00C230ED"/>
    <w:rsid w:val="00C234FA"/>
    <w:rsid w:val="00C23A25"/>
    <w:rsid w:val="00C24598"/>
    <w:rsid w:val="00C24829"/>
    <w:rsid w:val="00C27715"/>
    <w:rsid w:val="00C27975"/>
    <w:rsid w:val="00C3007E"/>
    <w:rsid w:val="00C30867"/>
    <w:rsid w:val="00C3087F"/>
    <w:rsid w:val="00C30CC1"/>
    <w:rsid w:val="00C32A97"/>
    <w:rsid w:val="00C33151"/>
    <w:rsid w:val="00C34B33"/>
    <w:rsid w:val="00C34C34"/>
    <w:rsid w:val="00C3524F"/>
    <w:rsid w:val="00C361D1"/>
    <w:rsid w:val="00C37835"/>
    <w:rsid w:val="00C37A4A"/>
    <w:rsid w:val="00C37B4C"/>
    <w:rsid w:val="00C37E22"/>
    <w:rsid w:val="00C40552"/>
    <w:rsid w:val="00C41BBB"/>
    <w:rsid w:val="00C435D8"/>
    <w:rsid w:val="00C44433"/>
    <w:rsid w:val="00C450FF"/>
    <w:rsid w:val="00C45258"/>
    <w:rsid w:val="00C46CEC"/>
    <w:rsid w:val="00C4735F"/>
    <w:rsid w:val="00C50349"/>
    <w:rsid w:val="00C50EF0"/>
    <w:rsid w:val="00C51077"/>
    <w:rsid w:val="00C510E2"/>
    <w:rsid w:val="00C51F46"/>
    <w:rsid w:val="00C52B1D"/>
    <w:rsid w:val="00C52FE5"/>
    <w:rsid w:val="00C5313B"/>
    <w:rsid w:val="00C548AA"/>
    <w:rsid w:val="00C551AF"/>
    <w:rsid w:val="00C5600F"/>
    <w:rsid w:val="00C56B43"/>
    <w:rsid w:val="00C570D6"/>
    <w:rsid w:val="00C577B5"/>
    <w:rsid w:val="00C60176"/>
    <w:rsid w:val="00C602EE"/>
    <w:rsid w:val="00C60B53"/>
    <w:rsid w:val="00C61F5D"/>
    <w:rsid w:val="00C63486"/>
    <w:rsid w:val="00C63A7C"/>
    <w:rsid w:val="00C63AB0"/>
    <w:rsid w:val="00C64233"/>
    <w:rsid w:val="00C66F9A"/>
    <w:rsid w:val="00C66FA5"/>
    <w:rsid w:val="00C67CF1"/>
    <w:rsid w:val="00C67F66"/>
    <w:rsid w:val="00C703C1"/>
    <w:rsid w:val="00C71880"/>
    <w:rsid w:val="00C72673"/>
    <w:rsid w:val="00C73454"/>
    <w:rsid w:val="00C75593"/>
    <w:rsid w:val="00C758EC"/>
    <w:rsid w:val="00C773CA"/>
    <w:rsid w:val="00C779FA"/>
    <w:rsid w:val="00C77FAB"/>
    <w:rsid w:val="00C811C2"/>
    <w:rsid w:val="00C81924"/>
    <w:rsid w:val="00C83622"/>
    <w:rsid w:val="00C843DE"/>
    <w:rsid w:val="00C849B1"/>
    <w:rsid w:val="00C84AEF"/>
    <w:rsid w:val="00C90821"/>
    <w:rsid w:val="00C91BA2"/>
    <w:rsid w:val="00C91EDB"/>
    <w:rsid w:val="00C92169"/>
    <w:rsid w:val="00C92833"/>
    <w:rsid w:val="00C93DFC"/>
    <w:rsid w:val="00C94350"/>
    <w:rsid w:val="00C94E08"/>
    <w:rsid w:val="00C94FF2"/>
    <w:rsid w:val="00C954A1"/>
    <w:rsid w:val="00CA0220"/>
    <w:rsid w:val="00CA03D0"/>
    <w:rsid w:val="00CA0662"/>
    <w:rsid w:val="00CA0DBF"/>
    <w:rsid w:val="00CA121E"/>
    <w:rsid w:val="00CA1932"/>
    <w:rsid w:val="00CA3157"/>
    <w:rsid w:val="00CA45A8"/>
    <w:rsid w:val="00CA49CA"/>
    <w:rsid w:val="00CA4F91"/>
    <w:rsid w:val="00CA5451"/>
    <w:rsid w:val="00CA6115"/>
    <w:rsid w:val="00CA61E7"/>
    <w:rsid w:val="00CA62C6"/>
    <w:rsid w:val="00CA681A"/>
    <w:rsid w:val="00CA718A"/>
    <w:rsid w:val="00CA7EA2"/>
    <w:rsid w:val="00CB01B6"/>
    <w:rsid w:val="00CB0506"/>
    <w:rsid w:val="00CB0BD3"/>
    <w:rsid w:val="00CB0C3F"/>
    <w:rsid w:val="00CB1635"/>
    <w:rsid w:val="00CB2EEC"/>
    <w:rsid w:val="00CB3C04"/>
    <w:rsid w:val="00CB531F"/>
    <w:rsid w:val="00CB55A3"/>
    <w:rsid w:val="00CB5758"/>
    <w:rsid w:val="00CB583C"/>
    <w:rsid w:val="00CB6111"/>
    <w:rsid w:val="00CB6351"/>
    <w:rsid w:val="00CB6AB3"/>
    <w:rsid w:val="00CB6FC8"/>
    <w:rsid w:val="00CB7F1B"/>
    <w:rsid w:val="00CB7F7A"/>
    <w:rsid w:val="00CC0BC7"/>
    <w:rsid w:val="00CC12C4"/>
    <w:rsid w:val="00CC16E2"/>
    <w:rsid w:val="00CC1BF5"/>
    <w:rsid w:val="00CC1E8E"/>
    <w:rsid w:val="00CC237B"/>
    <w:rsid w:val="00CC24E2"/>
    <w:rsid w:val="00CC38FD"/>
    <w:rsid w:val="00CC3C2A"/>
    <w:rsid w:val="00CC4C56"/>
    <w:rsid w:val="00CC4CC8"/>
    <w:rsid w:val="00CC4FE5"/>
    <w:rsid w:val="00CC7830"/>
    <w:rsid w:val="00CD160E"/>
    <w:rsid w:val="00CD1672"/>
    <w:rsid w:val="00CD240F"/>
    <w:rsid w:val="00CD3007"/>
    <w:rsid w:val="00CD31EF"/>
    <w:rsid w:val="00CD3300"/>
    <w:rsid w:val="00CD33BA"/>
    <w:rsid w:val="00CD38A0"/>
    <w:rsid w:val="00CD4F6B"/>
    <w:rsid w:val="00CD5B3B"/>
    <w:rsid w:val="00CD6AE7"/>
    <w:rsid w:val="00CD78A6"/>
    <w:rsid w:val="00CE03DB"/>
    <w:rsid w:val="00CE069C"/>
    <w:rsid w:val="00CE1DF4"/>
    <w:rsid w:val="00CE366C"/>
    <w:rsid w:val="00CE5280"/>
    <w:rsid w:val="00CE5704"/>
    <w:rsid w:val="00CE5868"/>
    <w:rsid w:val="00CE6748"/>
    <w:rsid w:val="00CE6937"/>
    <w:rsid w:val="00CE7EC7"/>
    <w:rsid w:val="00CF1174"/>
    <w:rsid w:val="00CF1649"/>
    <w:rsid w:val="00CF3A32"/>
    <w:rsid w:val="00CF45E8"/>
    <w:rsid w:val="00CF4CF3"/>
    <w:rsid w:val="00CF54D5"/>
    <w:rsid w:val="00CF6000"/>
    <w:rsid w:val="00CF67BA"/>
    <w:rsid w:val="00D001BC"/>
    <w:rsid w:val="00D01AF5"/>
    <w:rsid w:val="00D0225B"/>
    <w:rsid w:val="00D028D6"/>
    <w:rsid w:val="00D02BAE"/>
    <w:rsid w:val="00D02C21"/>
    <w:rsid w:val="00D02DB5"/>
    <w:rsid w:val="00D03990"/>
    <w:rsid w:val="00D04F2E"/>
    <w:rsid w:val="00D060F0"/>
    <w:rsid w:val="00D061E1"/>
    <w:rsid w:val="00D071F2"/>
    <w:rsid w:val="00D07732"/>
    <w:rsid w:val="00D07BA2"/>
    <w:rsid w:val="00D10642"/>
    <w:rsid w:val="00D10D39"/>
    <w:rsid w:val="00D111D5"/>
    <w:rsid w:val="00D11D06"/>
    <w:rsid w:val="00D11FB6"/>
    <w:rsid w:val="00D12BFD"/>
    <w:rsid w:val="00D12CEA"/>
    <w:rsid w:val="00D12EDC"/>
    <w:rsid w:val="00D13434"/>
    <w:rsid w:val="00D13A51"/>
    <w:rsid w:val="00D13A6C"/>
    <w:rsid w:val="00D13F00"/>
    <w:rsid w:val="00D144E7"/>
    <w:rsid w:val="00D149DB"/>
    <w:rsid w:val="00D156F4"/>
    <w:rsid w:val="00D158F8"/>
    <w:rsid w:val="00D159F6"/>
    <w:rsid w:val="00D17374"/>
    <w:rsid w:val="00D20150"/>
    <w:rsid w:val="00D20D77"/>
    <w:rsid w:val="00D213D0"/>
    <w:rsid w:val="00D21D6A"/>
    <w:rsid w:val="00D2379D"/>
    <w:rsid w:val="00D24188"/>
    <w:rsid w:val="00D25470"/>
    <w:rsid w:val="00D25B1A"/>
    <w:rsid w:val="00D27053"/>
    <w:rsid w:val="00D2745D"/>
    <w:rsid w:val="00D27ACA"/>
    <w:rsid w:val="00D27FF9"/>
    <w:rsid w:val="00D30CBD"/>
    <w:rsid w:val="00D311C1"/>
    <w:rsid w:val="00D31910"/>
    <w:rsid w:val="00D327A8"/>
    <w:rsid w:val="00D32B39"/>
    <w:rsid w:val="00D33272"/>
    <w:rsid w:val="00D3371D"/>
    <w:rsid w:val="00D337D6"/>
    <w:rsid w:val="00D339EF"/>
    <w:rsid w:val="00D33D64"/>
    <w:rsid w:val="00D35350"/>
    <w:rsid w:val="00D35791"/>
    <w:rsid w:val="00D35E5C"/>
    <w:rsid w:val="00D36094"/>
    <w:rsid w:val="00D3620F"/>
    <w:rsid w:val="00D37E5B"/>
    <w:rsid w:val="00D41BD6"/>
    <w:rsid w:val="00D42639"/>
    <w:rsid w:val="00D42965"/>
    <w:rsid w:val="00D435AD"/>
    <w:rsid w:val="00D43C6F"/>
    <w:rsid w:val="00D43CA0"/>
    <w:rsid w:val="00D4449F"/>
    <w:rsid w:val="00D44A9E"/>
    <w:rsid w:val="00D44C17"/>
    <w:rsid w:val="00D45041"/>
    <w:rsid w:val="00D450A5"/>
    <w:rsid w:val="00D45380"/>
    <w:rsid w:val="00D455FA"/>
    <w:rsid w:val="00D4666F"/>
    <w:rsid w:val="00D477F4"/>
    <w:rsid w:val="00D51C7F"/>
    <w:rsid w:val="00D51CB0"/>
    <w:rsid w:val="00D5241F"/>
    <w:rsid w:val="00D52BBC"/>
    <w:rsid w:val="00D546F9"/>
    <w:rsid w:val="00D5587B"/>
    <w:rsid w:val="00D55991"/>
    <w:rsid w:val="00D56999"/>
    <w:rsid w:val="00D57A55"/>
    <w:rsid w:val="00D60868"/>
    <w:rsid w:val="00D608A5"/>
    <w:rsid w:val="00D60DE5"/>
    <w:rsid w:val="00D61CCE"/>
    <w:rsid w:val="00D620D7"/>
    <w:rsid w:val="00D62589"/>
    <w:rsid w:val="00D62B01"/>
    <w:rsid w:val="00D630DA"/>
    <w:rsid w:val="00D63AF4"/>
    <w:rsid w:val="00D64571"/>
    <w:rsid w:val="00D646A0"/>
    <w:rsid w:val="00D651BD"/>
    <w:rsid w:val="00D6539E"/>
    <w:rsid w:val="00D66CD8"/>
    <w:rsid w:val="00D6714E"/>
    <w:rsid w:val="00D67496"/>
    <w:rsid w:val="00D67AE1"/>
    <w:rsid w:val="00D67C0C"/>
    <w:rsid w:val="00D71841"/>
    <w:rsid w:val="00D71A85"/>
    <w:rsid w:val="00D71BE1"/>
    <w:rsid w:val="00D71C79"/>
    <w:rsid w:val="00D727A5"/>
    <w:rsid w:val="00D72D7D"/>
    <w:rsid w:val="00D72E6C"/>
    <w:rsid w:val="00D744D4"/>
    <w:rsid w:val="00D74743"/>
    <w:rsid w:val="00D755DC"/>
    <w:rsid w:val="00D75823"/>
    <w:rsid w:val="00D75A49"/>
    <w:rsid w:val="00D75CAD"/>
    <w:rsid w:val="00D80153"/>
    <w:rsid w:val="00D8082A"/>
    <w:rsid w:val="00D81926"/>
    <w:rsid w:val="00D81EC4"/>
    <w:rsid w:val="00D82127"/>
    <w:rsid w:val="00D846ED"/>
    <w:rsid w:val="00D862DA"/>
    <w:rsid w:val="00D867F5"/>
    <w:rsid w:val="00D87614"/>
    <w:rsid w:val="00D87698"/>
    <w:rsid w:val="00D87B29"/>
    <w:rsid w:val="00D9011A"/>
    <w:rsid w:val="00D90318"/>
    <w:rsid w:val="00D90CAE"/>
    <w:rsid w:val="00D911AF"/>
    <w:rsid w:val="00D9173E"/>
    <w:rsid w:val="00D91E41"/>
    <w:rsid w:val="00D922D4"/>
    <w:rsid w:val="00D93912"/>
    <w:rsid w:val="00D95B52"/>
    <w:rsid w:val="00D95ECE"/>
    <w:rsid w:val="00D95EFE"/>
    <w:rsid w:val="00D96245"/>
    <w:rsid w:val="00D9644D"/>
    <w:rsid w:val="00D96C75"/>
    <w:rsid w:val="00D97192"/>
    <w:rsid w:val="00D975EB"/>
    <w:rsid w:val="00D976F9"/>
    <w:rsid w:val="00DA128E"/>
    <w:rsid w:val="00DA1E7D"/>
    <w:rsid w:val="00DA5834"/>
    <w:rsid w:val="00DA6E1E"/>
    <w:rsid w:val="00DA7BC0"/>
    <w:rsid w:val="00DB18F4"/>
    <w:rsid w:val="00DB1D2A"/>
    <w:rsid w:val="00DB34F6"/>
    <w:rsid w:val="00DB355B"/>
    <w:rsid w:val="00DB4F04"/>
    <w:rsid w:val="00DB511C"/>
    <w:rsid w:val="00DB5465"/>
    <w:rsid w:val="00DB5BFA"/>
    <w:rsid w:val="00DB6BE7"/>
    <w:rsid w:val="00DB6E15"/>
    <w:rsid w:val="00DB6FA9"/>
    <w:rsid w:val="00DB7DC3"/>
    <w:rsid w:val="00DC1177"/>
    <w:rsid w:val="00DC1189"/>
    <w:rsid w:val="00DC1B5A"/>
    <w:rsid w:val="00DC1C73"/>
    <w:rsid w:val="00DC1F14"/>
    <w:rsid w:val="00DC2106"/>
    <w:rsid w:val="00DC249A"/>
    <w:rsid w:val="00DC350C"/>
    <w:rsid w:val="00DC4B86"/>
    <w:rsid w:val="00DC4D44"/>
    <w:rsid w:val="00DC587D"/>
    <w:rsid w:val="00DC5F15"/>
    <w:rsid w:val="00DC5F8A"/>
    <w:rsid w:val="00DC6D56"/>
    <w:rsid w:val="00DC6D5F"/>
    <w:rsid w:val="00DC6DB8"/>
    <w:rsid w:val="00DC7D1B"/>
    <w:rsid w:val="00DC7F94"/>
    <w:rsid w:val="00DD019C"/>
    <w:rsid w:val="00DD02A6"/>
    <w:rsid w:val="00DD02FD"/>
    <w:rsid w:val="00DD0774"/>
    <w:rsid w:val="00DD0A30"/>
    <w:rsid w:val="00DD1C87"/>
    <w:rsid w:val="00DD3611"/>
    <w:rsid w:val="00DD3FCE"/>
    <w:rsid w:val="00DD4135"/>
    <w:rsid w:val="00DD4FB9"/>
    <w:rsid w:val="00DD5C9B"/>
    <w:rsid w:val="00DD615D"/>
    <w:rsid w:val="00DD6B8A"/>
    <w:rsid w:val="00DD72EE"/>
    <w:rsid w:val="00DD7633"/>
    <w:rsid w:val="00DD7AC5"/>
    <w:rsid w:val="00DE00E8"/>
    <w:rsid w:val="00DE07E4"/>
    <w:rsid w:val="00DE1112"/>
    <w:rsid w:val="00DE162D"/>
    <w:rsid w:val="00DE191E"/>
    <w:rsid w:val="00DE1C27"/>
    <w:rsid w:val="00DE1C6E"/>
    <w:rsid w:val="00DE370D"/>
    <w:rsid w:val="00DE6475"/>
    <w:rsid w:val="00DE675A"/>
    <w:rsid w:val="00DF1B80"/>
    <w:rsid w:val="00DF216C"/>
    <w:rsid w:val="00DF2323"/>
    <w:rsid w:val="00DF2349"/>
    <w:rsid w:val="00DF2B4A"/>
    <w:rsid w:val="00DF2D91"/>
    <w:rsid w:val="00DF2E0F"/>
    <w:rsid w:val="00DF31DC"/>
    <w:rsid w:val="00DF333E"/>
    <w:rsid w:val="00DF37CB"/>
    <w:rsid w:val="00DF573A"/>
    <w:rsid w:val="00DF5DA2"/>
    <w:rsid w:val="00DF7A55"/>
    <w:rsid w:val="00DF7B01"/>
    <w:rsid w:val="00DF7E54"/>
    <w:rsid w:val="00E004CC"/>
    <w:rsid w:val="00E00598"/>
    <w:rsid w:val="00E0272D"/>
    <w:rsid w:val="00E03121"/>
    <w:rsid w:val="00E03604"/>
    <w:rsid w:val="00E073D6"/>
    <w:rsid w:val="00E1174E"/>
    <w:rsid w:val="00E12825"/>
    <w:rsid w:val="00E136F6"/>
    <w:rsid w:val="00E13834"/>
    <w:rsid w:val="00E13BC4"/>
    <w:rsid w:val="00E13E8E"/>
    <w:rsid w:val="00E147CD"/>
    <w:rsid w:val="00E14820"/>
    <w:rsid w:val="00E171BA"/>
    <w:rsid w:val="00E17419"/>
    <w:rsid w:val="00E179A4"/>
    <w:rsid w:val="00E20300"/>
    <w:rsid w:val="00E211D2"/>
    <w:rsid w:val="00E249F5"/>
    <w:rsid w:val="00E24FE2"/>
    <w:rsid w:val="00E26A6D"/>
    <w:rsid w:val="00E26B0E"/>
    <w:rsid w:val="00E27098"/>
    <w:rsid w:val="00E3046E"/>
    <w:rsid w:val="00E319AD"/>
    <w:rsid w:val="00E32F09"/>
    <w:rsid w:val="00E35781"/>
    <w:rsid w:val="00E365D4"/>
    <w:rsid w:val="00E373B8"/>
    <w:rsid w:val="00E37E5F"/>
    <w:rsid w:val="00E40240"/>
    <w:rsid w:val="00E40312"/>
    <w:rsid w:val="00E40F89"/>
    <w:rsid w:val="00E41430"/>
    <w:rsid w:val="00E41CA8"/>
    <w:rsid w:val="00E42382"/>
    <w:rsid w:val="00E42932"/>
    <w:rsid w:val="00E43D3E"/>
    <w:rsid w:val="00E44E53"/>
    <w:rsid w:val="00E46022"/>
    <w:rsid w:val="00E46833"/>
    <w:rsid w:val="00E46C6F"/>
    <w:rsid w:val="00E47123"/>
    <w:rsid w:val="00E501C8"/>
    <w:rsid w:val="00E503DB"/>
    <w:rsid w:val="00E5110A"/>
    <w:rsid w:val="00E51208"/>
    <w:rsid w:val="00E51687"/>
    <w:rsid w:val="00E51DE8"/>
    <w:rsid w:val="00E522E8"/>
    <w:rsid w:val="00E52C03"/>
    <w:rsid w:val="00E52C89"/>
    <w:rsid w:val="00E53230"/>
    <w:rsid w:val="00E53511"/>
    <w:rsid w:val="00E545BD"/>
    <w:rsid w:val="00E54F0E"/>
    <w:rsid w:val="00E55ADD"/>
    <w:rsid w:val="00E57387"/>
    <w:rsid w:val="00E5759B"/>
    <w:rsid w:val="00E5770F"/>
    <w:rsid w:val="00E578E0"/>
    <w:rsid w:val="00E601D8"/>
    <w:rsid w:val="00E6071E"/>
    <w:rsid w:val="00E6078B"/>
    <w:rsid w:val="00E609DA"/>
    <w:rsid w:val="00E60D0C"/>
    <w:rsid w:val="00E612EF"/>
    <w:rsid w:val="00E61ADF"/>
    <w:rsid w:val="00E62133"/>
    <w:rsid w:val="00E637FD"/>
    <w:rsid w:val="00E63968"/>
    <w:rsid w:val="00E63D91"/>
    <w:rsid w:val="00E64021"/>
    <w:rsid w:val="00E64B68"/>
    <w:rsid w:val="00E64FFE"/>
    <w:rsid w:val="00E65A64"/>
    <w:rsid w:val="00E67EF4"/>
    <w:rsid w:val="00E7046A"/>
    <w:rsid w:val="00E70744"/>
    <w:rsid w:val="00E70B28"/>
    <w:rsid w:val="00E71A8D"/>
    <w:rsid w:val="00E722B6"/>
    <w:rsid w:val="00E724A3"/>
    <w:rsid w:val="00E72BE7"/>
    <w:rsid w:val="00E744F2"/>
    <w:rsid w:val="00E74932"/>
    <w:rsid w:val="00E749FD"/>
    <w:rsid w:val="00E755C4"/>
    <w:rsid w:val="00E757A2"/>
    <w:rsid w:val="00E76EC1"/>
    <w:rsid w:val="00E77240"/>
    <w:rsid w:val="00E77915"/>
    <w:rsid w:val="00E77B70"/>
    <w:rsid w:val="00E77FF3"/>
    <w:rsid w:val="00E80DF0"/>
    <w:rsid w:val="00E8116C"/>
    <w:rsid w:val="00E81F1A"/>
    <w:rsid w:val="00E8330E"/>
    <w:rsid w:val="00E83F1F"/>
    <w:rsid w:val="00E845C4"/>
    <w:rsid w:val="00E846E1"/>
    <w:rsid w:val="00E85ADC"/>
    <w:rsid w:val="00E85EDA"/>
    <w:rsid w:val="00E86432"/>
    <w:rsid w:val="00E868B6"/>
    <w:rsid w:val="00E8704B"/>
    <w:rsid w:val="00E87448"/>
    <w:rsid w:val="00E90C57"/>
    <w:rsid w:val="00E90FE3"/>
    <w:rsid w:val="00E92195"/>
    <w:rsid w:val="00E943AA"/>
    <w:rsid w:val="00E94B82"/>
    <w:rsid w:val="00E975EC"/>
    <w:rsid w:val="00E97B82"/>
    <w:rsid w:val="00EA0AEC"/>
    <w:rsid w:val="00EA2DFC"/>
    <w:rsid w:val="00EA3CAF"/>
    <w:rsid w:val="00EA3D83"/>
    <w:rsid w:val="00EA423D"/>
    <w:rsid w:val="00EA720D"/>
    <w:rsid w:val="00EA72A8"/>
    <w:rsid w:val="00EA7ADF"/>
    <w:rsid w:val="00EA7C5E"/>
    <w:rsid w:val="00EB018A"/>
    <w:rsid w:val="00EB0AED"/>
    <w:rsid w:val="00EB3C27"/>
    <w:rsid w:val="00EB4539"/>
    <w:rsid w:val="00EB5A7D"/>
    <w:rsid w:val="00EB68C4"/>
    <w:rsid w:val="00EB6F2E"/>
    <w:rsid w:val="00EB72B4"/>
    <w:rsid w:val="00EB7DCC"/>
    <w:rsid w:val="00EC0034"/>
    <w:rsid w:val="00EC0529"/>
    <w:rsid w:val="00EC0EDF"/>
    <w:rsid w:val="00EC1F24"/>
    <w:rsid w:val="00EC2624"/>
    <w:rsid w:val="00EC2CA8"/>
    <w:rsid w:val="00EC3979"/>
    <w:rsid w:val="00EC3BCF"/>
    <w:rsid w:val="00EC4099"/>
    <w:rsid w:val="00EC4E4B"/>
    <w:rsid w:val="00EC5F6D"/>
    <w:rsid w:val="00EC6500"/>
    <w:rsid w:val="00ED0351"/>
    <w:rsid w:val="00ED0FA0"/>
    <w:rsid w:val="00ED1066"/>
    <w:rsid w:val="00ED2A8F"/>
    <w:rsid w:val="00ED316F"/>
    <w:rsid w:val="00ED3643"/>
    <w:rsid w:val="00ED4DA9"/>
    <w:rsid w:val="00ED50CB"/>
    <w:rsid w:val="00ED5613"/>
    <w:rsid w:val="00ED660C"/>
    <w:rsid w:val="00ED6B4B"/>
    <w:rsid w:val="00ED7C6A"/>
    <w:rsid w:val="00EE0A14"/>
    <w:rsid w:val="00EE110B"/>
    <w:rsid w:val="00EE24D7"/>
    <w:rsid w:val="00EE28B7"/>
    <w:rsid w:val="00EE301D"/>
    <w:rsid w:val="00EE380F"/>
    <w:rsid w:val="00EE47AA"/>
    <w:rsid w:val="00EE49C6"/>
    <w:rsid w:val="00EE4D89"/>
    <w:rsid w:val="00EE513C"/>
    <w:rsid w:val="00EE673A"/>
    <w:rsid w:val="00EF0399"/>
    <w:rsid w:val="00EF0FF2"/>
    <w:rsid w:val="00EF24D0"/>
    <w:rsid w:val="00EF2ACC"/>
    <w:rsid w:val="00EF2B7B"/>
    <w:rsid w:val="00EF42D8"/>
    <w:rsid w:val="00EF4355"/>
    <w:rsid w:val="00EF52D7"/>
    <w:rsid w:val="00EF5D68"/>
    <w:rsid w:val="00EF60A2"/>
    <w:rsid w:val="00EF7B81"/>
    <w:rsid w:val="00EF7C31"/>
    <w:rsid w:val="00F002BC"/>
    <w:rsid w:val="00F00941"/>
    <w:rsid w:val="00F02F5C"/>
    <w:rsid w:val="00F032A4"/>
    <w:rsid w:val="00F036D0"/>
    <w:rsid w:val="00F0404B"/>
    <w:rsid w:val="00F040DD"/>
    <w:rsid w:val="00F045AA"/>
    <w:rsid w:val="00F05504"/>
    <w:rsid w:val="00F062B5"/>
    <w:rsid w:val="00F062CC"/>
    <w:rsid w:val="00F0634B"/>
    <w:rsid w:val="00F06989"/>
    <w:rsid w:val="00F10040"/>
    <w:rsid w:val="00F1056A"/>
    <w:rsid w:val="00F108FD"/>
    <w:rsid w:val="00F11290"/>
    <w:rsid w:val="00F11E74"/>
    <w:rsid w:val="00F14BD7"/>
    <w:rsid w:val="00F154AA"/>
    <w:rsid w:val="00F15FE9"/>
    <w:rsid w:val="00F170A5"/>
    <w:rsid w:val="00F2070D"/>
    <w:rsid w:val="00F207FD"/>
    <w:rsid w:val="00F2117B"/>
    <w:rsid w:val="00F2216C"/>
    <w:rsid w:val="00F22505"/>
    <w:rsid w:val="00F22522"/>
    <w:rsid w:val="00F2278E"/>
    <w:rsid w:val="00F243E1"/>
    <w:rsid w:val="00F24C31"/>
    <w:rsid w:val="00F26563"/>
    <w:rsid w:val="00F270EE"/>
    <w:rsid w:val="00F27241"/>
    <w:rsid w:val="00F30014"/>
    <w:rsid w:val="00F301F6"/>
    <w:rsid w:val="00F33282"/>
    <w:rsid w:val="00F3385F"/>
    <w:rsid w:val="00F3386F"/>
    <w:rsid w:val="00F339D4"/>
    <w:rsid w:val="00F347CA"/>
    <w:rsid w:val="00F36C4F"/>
    <w:rsid w:val="00F36DDD"/>
    <w:rsid w:val="00F3785F"/>
    <w:rsid w:val="00F40176"/>
    <w:rsid w:val="00F40F2F"/>
    <w:rsid w:val="00F417FA"/>
    <w:rsid w:val="00F42EF8"/>
    <w:rsid w:val="00F43E8A"/>
    <w:rsid w:val="00F44001"/>
    <w:rsid w:val="00F44C8E"/>
    <w:rsid w:val="00F45603"/>
    <w:rsid w:val="00F45E67"/>
    <w:rsid w:val="00F4604B"/>
    <w:rsid w:val="00F47FA4"/>
    <w:rsid w:val="00F520F1"/>
    <w:rsid w:val="00F52A2F"/>
    <w:rsid w:val="00F53726"/>
    <w:rsid w:val="00F53E0A"/>
    <w:rsid w:val="00F5416B"/>
    <w:rsid w:val="00F54924"/>
    <w:rsid w:val="00F54B3D"/>
    <w:rsid w:val="00F56987"/>
    <w:rsid w:val="00F56C29"/>
    <w:rsid w:val="00F5789B"/>
    <w:rsid w:val="00F57BFB"/>
    <w:rsid w:val="00F60B87"/>
    <w:rsid w:val="00F60D56"/>
    <w:rsid w:val="00F61F6B"/>
    <w:rsid w:val="00F6237F"/>
    <w:rsid w:val="00F637BA"/>
    <w:rsid w:val="00F64F9D"/>
    <w:rsid w:val="00F658AD"/>
    <w:rsid w:val="00F6598C"/>
    <w:rsid w:val="00F65BC0"/>
    <w:rsid w:val="00F65DF1"/>
    <w:rsid w:val="00F662A9"/>
    <w:rsid w:val="00F66C6B"/>
    <w:rsid w:val="00F6797A"/>
    <w:rsid w:val="00F67B9F"/>
    <w:rsid w:val="00F67E7A"/>
    <w:rsid w:val="00F70519"/>
    <w:rsid w:val="00F7103B"/>
    <w:rsid w:val="00F7136C"/>
    <w:rsid w:val="00F73070"/>
    <w:rsid w:val="00F73330"/>
    <w:rsid w:val="00F7348B"/>
    <w:rsid w:val="00F73B79"/>
    <w:rsid w:val="00F74D92"/>
    <w:rsid w:val="00F7518B"/>
    <w:rsid w:val="00F7658A"/>
    <w:rsid w:val="00F76882"/>
    <w:rsid w:val="00F7799C"/>
    <w:rsid w:val="00F800AA"/>
    <w:rsid w:val="00F82BD8"/>
    <w:rsid w:val="00F835E5"/>
    <w:rsid w:val="00F83C7C"/>
    <w:rsid w:val="00F83DDF"/>
    <w:rsid w:val="00F84343"/>
    <w:rsid w:val="00F8538D"/>
    <w:rsid w:val="00F85746"/>
    <w:rsid w:val="00F861C3"/>
    <w:rsid w:val="00F8731D"/>
    <w:rsid w:val="00F916ED"/>
    <w:rsid w:val="00F9420E"/>
    <w:rsid w:val="00F94448"/>
    <w:rsid w:val="00F945FC"/>
    <w:rsid w:val="00F948F6"/>
    <w:rsid w:val="00F94A06"/>
    <w:rsid w:val="00F95603"/>
    <w:rsid w:val="00F95AAF"/>
    <w:rsid w:val="00F96592"/>
    <w:rsid w:val="00F96C0A"/>
    <w:rsid w:val="00F96CA8"/>
    <w:rsid w:val="00F97075"/>
    <w:rsid w:val="00F97437"/>
    <w:rsid w:val="00F97CC9"/>
    <w:rsid w:val="00FA021E"/>
    <w:rsid w:val="00FA07FF"/>
    <w:rsid w:val="00FA0820"/>
    <w:rsid w:val="00FA0999"/>
    <w:rsid w:val="00FA1462"/>
    <w:rsid w:val="00FA17B6"/>
    <w:rsid w:val="00FA1E95"/>
    <w:rsid w:val="00FA2B09"/>
    <w:rsid w:val="00FA582C"/>
    <w:rsid w:val="00FA5B89"/>
    <w:rsid w:val="00FA6C63"/>
    <w:rsid w:val="00FA7EDA"/>
    <w:rsid w:val="00FB143C"/>
    <w:rsid w:val="00FB195D"/>
    <w:rsid w:val="00FB2E16"/>
    <w:rsid w:val="00FB2E73"/>
    <w:rsid w:val="00FB373A"/>
    <w:rsid w:val="00FB42A3"/>
    <w:rsid w:val="00FB50D0"/>
    <w:rsid w:val="00FB60A7"/>
    <w:rsid w:val="00FB6A34"/>
    <w:rsid w:val="00FC03B4"/>
    <w:rsid w:val="00FC172E"/>
    <w:rsid w:val="00FC3388"/>
    <w:rsid w:val="00FC3657"/>
    <w:rsid w:val="00FC42D1"/>
    <w:rsid w:val="00FC4598"/>
    <w:rsid w:val="00FC5589"/>
    <w:rsid w:val="00FC5B87"/>
    <w:rsid w:val="00FC631A"/>
    <w:rsid w:val="00FC6DD6"/>
    <w:rsid w:val="00FC75E9"/>
    <w:rsid w:val="00FC7B90"/>
    <w:rsid w:val="00FD00CD"/>
    <w:rsid w:val="00FD1223"/>
    <w:rsid w:val="00FD1C54"/>
    <w:rsid w:val="00FD1D16"/>
    <w:rsid w:val="00FD2171"/>
    <w:rsid w:val="00FD22F9"/>
    <w:rsid w:val="00FD46AF"/>
    <w:rsid w:val="00FD5131"/>
    <w:rsid w:val="00FD73CE"/>
    <w:rsid w:val="00FD78CD"/>
    <w:rsid w:val="00FE0BFC"/>
    <w:rsid w:val="00FE24DC"/>
    <w:rsid w:val="00FE3745"/>
    <w:rsid w:val="00FE3A25"/>
    <w:rsid w:val="00FE3B46"/>
    <w:rsid w:val="00FE3DC3"/>
    <w:rsid w:val="00FE43E7"/>
    <w:rsid w:val="00FE4846"/>
    <w:rsid w:val="00FE4A06"/>
    <w:rsid w:val="00FE4B74"/>
    <w:rsid w:val="00FE5802"/>
    <w:rsid w:val="00FE5A29"/>
    <w:rsid w:val="00FE5CC1"/>
    <w:rsid w:val="00FE64A4"/>
    <w:rsid w:val="00FE7005"/>
    <w:rsid w:val="00FE7092"/>
    <w:rsid w:val="00FE72D0"/>
    <w:rsid w:val="00FF0350"/>
    <w:rsid w:val="00FF0D4B"/>
    <w:rsid w:val="00FF14BC"/>
    <w:rsid w:val="00FF2ECF"/>
    <w:rsid w:val="00FF3855"/>
    <w:rsid w:val="00FF4C53"/>
    <w:rsid w:val="00FF5C54"/>
    <w:rsid w:val="00FF63E5"/>
    <w:rsid w:val="00FF65ED"/>
    <w:rsid w:val="00FF6F42"/>
    <w:rsid w:val="00FF75B6"/>
    <w:rsid w:val="00FF7A19"/>
    <w:rsid w:val="00FF7BF0"/>
    <w:rsid w:val="01106F4B"/>
    <w:rsid w:val="011A52DC"/>
    <w:rsid w:val="01441093"/>
    <w:rsid w:val="0204053A"/>
    <w:rsid w:val="023F0C66"/>
    <w:rsid w:val="023F62E4"/>
    <w:rsid w:val="0252665D"/>
    <w:rsid w:val="026F018C"/>
    <w:rsid w:val="02AF69F7"/>
    <w:rsid w:val="03B07959"/>
    <w:rsid w:val="03EF3B00"/>
    <w:rsid w:val="04B05A4B"/>
    <w:rsid w:val="050F5BE5"/>
    <w:rsid w:val="05EB5EC4"/>
    <w:rsid w:val="06021669"/>
    <w:rsid w:val="06FB5D01"/>
    <w:rsid w:val="070F2DAA"/>
    <w:rsid w:val="072B7E81"/>
    <w:rsid w:val="07323C5D"/>
    <w:rsid w:val="079044C4"/>
    <w:rsid w:val="07E77495"/>
    <w:rsid w:val="07FF0D34"/>
    <w:rsid w:val="08DA2D14"/>
    <w:rsid w:val="090C47E8"/>
    <w:rsid w:val="09E14BD4"/>
    <w:rsid w:val="09EE1557"/>
    <w:rsid w:val="0A4557E9"/>
    <w:rsid w:val="0A4F55C5"/>
    <w:rsid w:val="0A797FAB"/>
    <w:rsid w:val="0B491B94"/>
    <w:rsid w:val="0B5E04B4"/>
    <w:rsid w:val="0B676BC5"/>
    <w:rsid w:val="0B6F3FD2"/>
    <w:rsid w:val="0BB81E48"/>
    <w:rsid w:val="0BC536DC"/>
    <w:rsid w:val="0C1C796E"/>
    <w:rsid w:val="0C4E1A80"/>
    <w:rsid w:val="0C506B43"/>
    <w:rsid w:val="0C9F46C4"/>
    <w:rsid w:val="0D206BB4"/>
    <w:rsid w:val="0D5D2701"/>
    <w:rsid w:val="0D5E0398"/>
    <w:rsid w:val="0EE65882"/>
    <w:rsid w:val="0F057031"/>
    <w:rsid w:val="0F105380"/>
    <w:rsid w:val="0F7605E9"/>
    <w:rsid w:val="0FD46404"/>
    <w:rsid w:val="103C4234"/>
    <w:rsid w:val="1080034F"/>
    <w:rsid w:val="10822A4B"/>
    <w:rsid w:val="10E66467"/>
    <w:rsid w:val="11074B93"/>
    <w:rsid w:val="11EA5AEF"/>
    <w:rsid w:val="1235563F"/>
    <w:rsid w:val="1285376F"/>
    <w:rsid w:val="12C20004"/>
    <w:rsid w:val="12DE2F04"/>
    <w:rsid w:val="130322C6"/>
    <w:rsid w:val="13874846"/>
    <w:rsid w:val="13D62A6B"/>
    <w:rsid w:val="140F00F4"/>
    <w:rsid w:val="14281C22"/>
    <w:rsid w:val="142844BF"/>
    <w:rsid w:val="14371FAF"/>
    <w:rsid w:val="147B03A7"/>
    <w:rsid w:val="14FE0980"/>
    <w:rsid w:val="15CD44D1"/>
    <w:rsid w:val="15DE5A70"/>
    <w:rsid w:val="16604D44"/>
    <w:rsid w:val="170B195A"/>
    <w:rsid w:val="178A7CAA"/>
    <w:rsid w:val="17F015E3"/>
    <w:rsid w:val="18C930C8"/>
    <w:rsid w:val="19483E17"/>
    <w:rsid w:val="19501B94"/>
    <w:rsid w:val="198310E9"/>
    <w:rsid w:val="19A30B71"/>
    <w:rsid w:val="19DE26FD"/>
    <w:rsid w:val="1A2179B1"/>
    <w:rsid w:val="1A59504A"/>
    <w:rsid w:val="1A9E2B3B"/>
    <w:rsid w:val="1AA0603E"/>
    <w:rsid w:val="1ADA169B"/>
    <w:rsid w:val="1B1062F2"/>
    <w:rsid w:val="1BB2137E"/>
    <w:rsid w:val="1C2C57C5"/>
    <w:rsid w:val="1C7723C1"/>
    <w:rsid w:val="1D077814"/>
    <w:rsid w:val="1D517B25"/>
    <w:rsid w:val="1DDB74DD"/>
    <w:rsid w:val="1E3E64A9"/>
    <w:rsid w:val="1E420733"/>
    <w:rsid w:val="1E726D03"/>
    <w:rsid w:val="1EAE5FB8"/>
    <w:rsid w:val="1F8F60AD"/>
    <w:rsid w:val="1FB27690"/>
    <w:rsid w:val="1FC55AC8"/>
    <w:rsid w:val="1FE23869"/>
    <w:rsid w:val="200B57A0"/>
    <w:rsid w:val="201F456C"/>
    <w:rsid w:val="204C400B"/>
    <w:rsid w:val="206608F4"/>
    <w:rsid w:val="215F702C"/>
    <w:rsid w:val="21836286"/>
    <w:rsid w:val="219F5BB6"/>
    <w:rsid w:val="21CE2E82"/>
    <w:rsid w:val="21D2510C"/>
    <w:rsid w:val="22CF1726"/>
    <w:rsid w:val="22ED2089"/>
    <w:rsid w:val="236B5627"/>
    <w:rsid w:val="23813B4D"/>
    <w:rsid w:val="239E30FD"/>
    <w:rsid w:val="24371FF7"/>
    <w:rsid w:val="24B771D6"/>
    <w:rsid w:val="24FD433F"/>
    <w:rsid w:val="250C5E32"/>
    <w:rsid w:val="25513DC9"/>
    <w:rsid w:val="256A6EF1"/>
    <w:rsid w:val="25BD099C"/>
    <w:rsid w:val="26D903CC"/>
    <w:rsid w:val="274C7086"/>
    <w:rsid w:val="27765CCC"/>
    <w:rsid w:val="27C97CD5"/>
    <w:rsid w:val="28593D41"/>
    <w:rsid w:val="28C668F3"/>
    <w:rsid w:val="28DE5F6C"/>
    <w:rsid w:val="29E02E8B"/>
    <w:rsid w:val="2ADB055C"/>
    <w:rsid w:val="2B3E34F8"/>
    <w:rsid w:val="2B796B71"/>
    <w:rsid w:val="2B867C93"/>
    <w:rsid w:val="2D4860D7"/>
    <w:rsid w:val="2DD82D7E"/>
    <w:rsid w:val="2E3F536B"/>
    <w:rsid w:val="2E8F227A"/>
    <w:rsid w:val="2F2E2A75"/>
    <w:rsid w:val="2F563C39"/>
    <w:rsid w:val="2FB7C4CF"/>
    <w:rsid w:val="2FDD5F3E"/>
    <w:rsid w:val="300701D9"/>
    <w:rsid w:val="30164F71"/>
    <w:rsid w:val="304170BA"/>
    <w:rsid w:val="32720DB3"/>
    <w:rsid w:val="33055644"/>
    <w:rsid w:val="33063416"/>
    <w:rsid w:val="33D31514"/>
    <w:rsid w:val="33E936B8"/>
    <w:rsid w:val="34545934"/>
    <w:rsid w:val="348A4537"/>
    <w:rsid w:val="34A77AF0"/>
    <w:rsid w:val="35B05222"/>
    <w:rsid w:val="366849D0"/>
    <w:rsid w:val="36873BD7"/>
    <w:rsid w:val="3704484F"/>
    <w:rsid w:val="37740A86"/>
    <w:rsid w:val="37DB48B2"/>
    <w:rsid w:val="38344F41"/>
    <w:rsid w:val="384A046D"/>
    <w:rsid w:val="395850A3"/>
    <w:rsid w:val="3A0F354D"/>
    <w:rsid w:val="3A890C98"/>
    <w:rsid w:val="3AED09BD"/>
    <w:rsid w:val="3B4029C5"/>
    <w:rsid w:val="3B6830DE"/>
    <w:rsid w:val="3C3379CF"/>
    <w:rsid w:val="3DEA4B22"/>
    <w:rsid w:val="3E5B2B03"/>
    <w:rsid w:val="3ECA15E2"/>
    <w:rsid w:val="3F0701CA"/>
    <w:rsid w:val="3F721126"/>
    <w:rsid w:val="3FB917F8"/>
    <w:rsid w:val="3FB9189A"/>
    <w:rsid w:val="3FF55E7C"/>
    <w:rsid w:val="40217FC5"/>
    <w:rsid w:val="405B6EA5"/>
    <w:rsid w:val="40FD66AE"/>
    <w:rsid w:val="41020E9F"/>
    <w:rsid w:val="413C6193"/>
    <w:rsid w:val="41B34EA6"/>
    <w:rsid w:val="41C218EF"/>
    <w:rsid w:val="41C73B79"/>
    <w:rsid w:val="42DB1ADC"/>
    <w:rsid w:val="42F66EA2"/>
    <w:rsid w:val="433D2789"/>
    <w:rsid w:val="43E905D9"/>
    <w:rsid w:val="441428BE"/>
    <w:rsid w:val="44484A68"/>
    <w:rsid w:val="446D72CF"/>
    <w:rsid w:val="449B6B1A"/>
    <w:rsid w:val="44A154C3"/>
    <w:rsid w:val="469730DC"/>
    <w:rsid w:val="469F3D6C"/>
    <w:rsid w:val="475A1A1B"/>
    <w:rsid w:val="47847862"/>
    <w:rsid w:val="479B2D0A"/>
    <w:rsid w:val="47AF7D12"/>
    <w:rsid w:val="485D258D"/>
    <w:rsid w:val="495B1666"/>
    <w:rsid w:val="496A1D85"/>
    <w:rsid w:val="49F21ED8"/>
    <w:rsid w:val="4A6C05AA"/>
    <w:rsid w:val="4A7D5BE4"/>
    <w:rsid w:val="4A9B3E35"/>
    <w:rsid w:val="4AAA1FB2"/>
    <w:rsid w:val="4B3224BF"/>
    <w:rsid w:val="4B373D08"/>
    <w:rsid w:val="4BD92CFF"/>
    <w:rsid w:val="4C1672E0"/>
    <w:rsid w:val="4C2B536F"/>
    <w:rsid w:val="4C3A401D"/>
    <w:rsid w:val="4D6516D3"/>
    <w:rsid w:val="4D6F31B0"/>
    <w:rsid w:val="4DEC36CC"/>
    <w:rsid w:val="4F0C67CB"/>
    <w:rsid w:val="4F375EDD"/>
    <w:rsid w:val="4F8172FD"/>
    <w:rsid w:val="50406436"/>
    <w:rsid w:val="509129BD"/>
    <w:rsid w:val="50914646"/>
    <w:rsid w:val="50997DCA"/>
    <w:rsid w:val="51304DED"/>
    <w:rsid w:val="513F75F0"/>
    <w:rsid w:val="517E7143"/>
    <w:rsid w:val="51D70EB5"/>
    <w:rsid w:val="51FE6B7B"/>
    <w:rsid w:val="5202191A"/>
    <w:rsid w:val="526C19A7"/>
    <w:rsid w:val="52C57CE1"/>
    <w:rsid w:val="52E30C08"/>
    <w:rsid w:val="53994EB3"/>
    <w:rsid w:val="54113878"/>
    <w:rsid w:val="54712998"/>
    <w:rsid w:val="54A85071"/>
    <w:rsid w:val="551769A9"/>
    <w:rsid w:val="555536EC"/>
    <w:rsid w:val="5557635E"/>
    <w:rsid w:val="559E7B87"/>
    <w:rsid w:val="56BA37D7"/>
    <w:rsid w:val="56BC2E6B"/>
    <w:rsid w:val="56FC4BC0"/>
    <w:rsid w:val="57301217"/>
    <w:rsid w:val="57863CE8"/>
    <w:rsid w:val="57A3549E"/>
    <w:rsid w:val="57AC1E66"/>
    <w:rsid w:val="57EF7AD3"/>
    <w:rsid w:val="583A4F4D"/>
    <w:rsid w:val="58C13F2C"/>
    <w:rsid w:val="58CD57C0"/>
    <w:rsid w:val="591F1D47"/>
    <w:rsid w:val="594069F9"/>
    <w:rsid w:val="59EE5898"/>
    <w:rsid w:val="5A5F6E50"/>
    <w:rsid w:val="5A7F0DB3"/>
    <w:rsid w:val="5B29206D"/>
    <w:rsid w:val="5B9F8737"/>
    <w:rsid w:val="5BC04E45"/>
    <w:rsid w:val="5BEF7C4E"/>
    <w:rsid w:val="5C5A7F10"/>
    <w:rsid w:val="5CD71872"/>
    <w:rsid w:val="5D074B03"/>
    <w:rsid w:val="5D74087D"/>
    <w:rsid w:val="5DCC2370"/>
    <w:rsid w:val="5DF81F3B"/>
    <w:rsid w:val="5F035218"/>
    <w:rsid w:val="5F7438A3"/>
    <w:rsid w:val="5FA16A73"/>
    <w:rsid w:val="5FAE4F2C"/>
    <w:rsid w:val="5FD44D53"/>
    <w:rsid w:val="5FF3368E"/>
    <w:rsid w:val="6024021E"/>
    <w:rsid w:val="603A1E6B"/>
    <w:rsid w:val="61187B5D"/>
    <w:rsid w:val="61A429C0"/>
    <w:rsid w:val="61D059C2"/>
    <w:rsid w:val="61F749C9"/>
    <w:rsid w:val="639F3A80"/>
    <w:rsid w:val="64C612E4"/>
    <w:rsid w:val="64ED72E4"/>
    <w:rsid w:val="651200DE"/>
    <w:rsid w:val="653E4426"/>
    <w:rsid w:val="65766A16"/>
    <w:rsid w:val="666A6796"/>
    <w:rsid w:val="68554AD1"/>
    <w:rsid w:val="68695E15"/>
    <w:rsid w:val="686F3CB0"/>
    <w:rsid w:val="68785E71"/>
    <w:rsid w:val="689457A1"/>
    <w:rsid w:val="689F73B6"/>
    <w:rsid w:val="68A128B9"/>
    <w:rsid w:val="68E61D28"/>
    <w:rsid w:val="68F63B5B"/>
    <w:rsid w:val="69503956"/>
    <w:rsid w:val="69576D82"/>
    <w:rsid w:val="69CF04EC"/>
    <w:rsid w:val="69FB056C"/>
    <w:rsid w:val="6A306848"/>
    <w:rsid w:val="6A547D01"/>
    <w:rsid w:val="6A942CE9"/>
    <w:rsid w:val="6AF8252D"/>
    <w:rsid w:val="6B1531C6"/>
    <w:rsid w:val="6B2028CD"/>
    <w:rsid w:val="6BE66E12"/>
    <w:rsid w:val="6CFD6E3B"/>
    <w:rsid w:val="6D296A5E"/>
    <w:rsid w:val="6D837B38"/>
    <w:rsid w:val="6ECB1154"/>
    <w:rsid w:val="6F1B21D8"/>
    <w:rsid w:val="6F3B4C8B"/>
    <w:rsid w:val="6F5D5351"/>
    <w:rsid w:val="6FE3639E"/>
    <w:rsid w:val="70E85C4B"/>
    <w:rsid w:val="712831B2"/>
    <w:rsid w:val="71F667CD"/>
    <w:rsid w:val="7204189B"/>
    <w:rsid w:val="720E5A2E"/>
    <w:rsid w:val="73A83455"/>
    <w:rsid w:val="73F63DFC"/>
    <w:rsid w:val="74042666"/>
    <w:rsid w:val="74AC62F7"/>
    <w:rsid w:val="74D516B9"/>
    <w:rsid w:val="74F247CF"/>
    <w:rsid w:val="7552070F"/>
    <w:rsid w:val="76E92817"/>
    <w:rsid w:val="775904DE"/>
    <w:rsid w:val="776A61FA"/>
    <w:rsid w:val="779D5A36"/>
    <w:rsid w:val="785A082A"/>
    <w:rsid w:val="787278DB"/>
    <w:rsid w:val="78B54F18"/>
    <w:rsid w:val="78D823EA"/>
    <w:rsid w:val="78ED2B4E"/>
    <w:rsid w:val="7A0E3A99"/>
    <w:rsid w:val="7AB428D6"/>
    <w:rsid w:val="7B114D77"/>
    <w:rsid w:val="7B6E188D"/>
    <w:rsid w:val="7B895BE8"/>
    <w:rsid w:val="7BC05E14"/>
    <w:rsid w:val="7BF0747F"/>
    <w:rsid w:val="7C7A260C"/>
    <w:rsid w:val="7CCF6C37"/>
    <w:rsid w:val="7D631220"/>
    <w:rsid w:val="7D672CCD"/>
    <w:rsid w:val="7DC120E2"/>
    <w:rsid w:val="7E0F43DF"/>
    <w:rsid w:val="7E287508"/>
    <w:rsid w:val="7EA75857"/>
    <w:rsid w:val="7ECA2E30"/>
    <w:rsid w:val="7EEC6A05"/>
    <w:rsid w:val="7F2B5AB0"/>
    <w:rsid w:val="7F5B0B7E"/>
    <w:rsid w:val="7F685B1D"/>
    <w:rsid w:val="7F91A860"/>
    <w:rsid w:val="A1FDD351"/>
    <w:rsid w:val="BDADAFC5"/>
    <w:rsid w:val="BF6C8DAA"/>
    <w:rsid w:val="BFF108FE"/>
    <w:rsid w:val="C9D7941D"/>
    <w:rsid w:val="EFBF0FC9"/>
    <w:rsid w:val="EFD46F15"/>
    <w:rsid w:val="EFE930D8"/>
    <w:rsid w:val="F9FFAD82"/>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8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1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85"/>
    <w:qFormat/>
    <w:uiPriority w:val="0"/>
    <w:pPr>
      <w:keepNext/>
      <w:keepLines/>
      <w:spacing w:before="260" w:after="260" w:line="416" w:lineRule="auto"/>
      <w:outlineLvl w:val="2"/>
    </w:pPr>
    <w:rPr>
      <w:b/>
      <w:bCs/>
      <w:sz w:val="32"/>
      <w:szCs w:val="32"/>
    </w:rPr>
  </w:style>
  <w:style w:type="paragraph" w:styleId="6">
    <w:name w:val="heading 4"/>
    <w:basedOn w:val="1"/>
    <w:next w:val="1"/>
    <w:link w:val="113"/>
    <w:qFormat/>
    <w:uiPriority w:val="0"/>
    <w:pPr>
      <w:keepNext/>
      <w:keepLines/>
      <w:numPr>
        <w:ilvl w:val="0"/>
        <w:numId w:val="1"/>
      </w:numPr>
      <w:spacing w:before="280" w:after="290" w:line="376" w:lineRule="auto"/>
      <w:outlineLvl w:val="3"/>
    </w:pPr>
    <w:rPr>
      <w:rFonts w:ascii="Cambria" w:hAnsi="Cambria"/>
      <w:b/>
      <w:bCs/>
      <w:sz w:val="28"/>
      <w:szCs w:val="28"/>
    </w:rPr>
  </w:style>
  <w:style w:type="paragraph" w:styleId="7">
    <w:name w:val="heading 5"/>
    <w:basedOn w:val="1"/>
    <w:next w:val="1"/>
    <w:link w:val="186"/>
    <w:qFormat/>
    <w:uiPriority w:val="0"/>
    <w:pPr>
      <w:widowControl/>
      <w:overflowPunct w:val="0"/>
      <w:autoSpaceDE w:val="0"/>
      <w:autoSpaceDN w:val="0"/>
      <w:adjustRightInd w:val="0"/>
      <w:spacing w:before="240" w:after="60"/>
      <w:jc w:val="left"/>
      <w:textAlignment w:val="baseline"/>
      <w:outlineLvl w:val="4"/>
    </w:pPr>
    <w:rPr>
      <w:rFonts w:ascii="Arial" w:hAnsi="Arial"/>
      <w:sz w:val="22"/>
      <w:szCs w:val="28"/>
    </w:rPr>
  </w:style>
  <w:style w:type="paragraph" w:styleId="8">
    <w:name w:val="heading 6"/>
    <w:basedOn w:val="1"/>
    <w:next w:val="1"/>
    <w:link w:val="92"/>
    <w:qFormat/>
    <w:uiPriority w:val="0"/>
    <w:pPr>
      <w:widowControl/>
      <w:overflowPunct w:val="0"/>
      <w:autoSpaceDE w:val="0"/>
      <w:autoSpaceDN w:val="0"/>
      <w:adjustRightInd w:val="0"/>
      <w:spacing w:before="240" w:after="60"/>
      <w:jc w:val="left"/>
      <w:textAlignment w:val="baseline"/>
      <w:outlineLvl w:val="5"/>
    </w:pPr>
    <w:rPr>
      <w:rFonts w:ascii="Arial" w:hAnsi="Arial" w:eastAsia="仿宋_GB2312"/>
      <w:i/>
      <w:kern w:val="0"/>
      <w:sz w:val="22"/>
    </w:rPr>
  </w:style>
  <w:style w:type="paragraph" w:styleId="9">
    <w:name w:val="heading 7"/>
    <w:basedOn w:val="1"/>
    <w:next w:val="1"/>
    <w:link w:val="178"/>
    <w:qFormat/>
    <w:uiPriority w:val="0"/>
    <w:pPr>
      <w:widowControl/>
      <w:overflowPunct w:val="0"/>
      <w:autoSpaceDE w:val="0"/>
      <w:autoSpaceDN w:val="0"/>
      <w:adjustRightInd w:val="0"/>
      <w:spacing w:before="240" w:after="60"/>
      <w:jc w:val="left"/>
      <w:textAlignment w:val="baseline"/>
      <w:outlineLvl w:val="6"/>
    </w:pPr>
    <w:rPr>
      <w:rFonts w:ascii="Arial" w:hAnsi="Arial"/>
      <w:sz w:val="28"/>
      <w:szCs w:val="28"/>
    </w:rPr>
  </w:style>
  <w:style w:type="paragraph" w:styleId="10">
    <w:name w:val="heading 8"/>
    <w:basedOn w:val="1"/>
    <w:next w:val="1"/>
    <w:link w:val="161"/>
    <w:qFormat/>
    <w:uiPriority w:val="0"/>
    <w:pPr>
      <w:widowControl/>
      <w:overflowPunct w:val="0"/>
      <w:autoSpaceDE w:val="0"/>
      <w:autoSpaceDN w:val="0"/>
      <w:adjustRightInd w:val="0"/>
      <w:spacing w:before="240" w:after="60"/>
      <w:jc w:val="left"/>
      <w:textAlignment w:val="baseline"/>
      <w:outlineLvl w:val="7"/>
    </w:pPr>
    <w:rPr>
      <w:rFonts w:ascii="Arial" w:hAnsi="Arial"/>
      <w:i/>
      <w:sz w:val="28"/>
      <w:szCs w:val="28"/>
    </w:rPr>
  </w:style>
  <w:style w:type="paragraph" w:styleId="11">
    <w:name w:val="heading 9"/>
    <w:basedOn w:val="1"/>
    <w:next w:val="1"/>
    <w:link w:val="101"/>
    <w:qFormat/>
    <w:uiPriority w:val="0"/>
    <w:pPr>
      <w:widowControl/>
      <w:overflowPunct w:val="0"/>
      <w:autoSpaceDE w:val="0"/>
      <w:autoSpaceDN w:val="0"/>
      <w:adjustRightInd w:val="0"/>
      <w:spacing w:before="240" w:after="60"/>
      <w:jc w:val="left"/>
      <w:textAlignment w:val="baseline"/>
      <w:outlineLvl w:val="8"/>
    </w:pPr>
    <w:rPr>
      <w:rFonts w:ascii="Arial" w:hAnsi="Arial"/>
      <w:i/>
      <w:sz w:val="18"/>
      <w:szCs w:val="28"/>
    </w:rPr>
  </w:style>
  <w:style w:type="character" w:default="1" w:styleId="65">
    <w:name w:val="Default Paragraph Font"/>
    <w:qFormat/>
    <w:uiPriority w:val="0"/>
    <w:rPr>
      <w:rFonts w:ascii="Verdana" w:hAnsi="Verdana" w:eastAsia="仿宋_GB2312"/>
      <w:kern w:val="0"/>
      <w:sz w:val="28"/>
      <w:lang w:eastAsia="en-US"/>
    </w:rPr>
  </w:style>
  <w:style w:type="table" w:default="1" w:styleId="61">
    <w:name w:val="Normal Table"/>
    <w:semiHidden/>
    <w:qFormat/>
    <w:uiPriority w:val="0"/>
    <w:tblPr>
      <w:tblCellMar>
        <w:top w:w="0" w:type="dxa"/>
        <w:left w:w="108" w:type="dxa"/>
        <w:bottom w:w="0" w:type="dxa"/>
        <w:right w:w="108" w:type="dxa"/>
      </w:tblCellMar>
    </w:tblPr>
  </w:style>
  <w:style w:type="paragraph" w:styleId="2">
    <w:name w:val="Body Text"/>
    <w:basedOn w:val="1"/>
    <w:next w:val="1"/>
    <w:link w:val="81"/>
    <w:qFormat/>
    <w:uiPriority w:val="0"/>
    <w:rPr>
      <w:rFonts w:eastAsia="黑体"/>
      <w:b/>
      <w:bCs/>
      <w:spacing w:val="20"/>
      <w:kern w:val="52"/>
      <w:sz w:val="56"/>
      <w:szCs w:val="24"/>
    </w:rPr>
  </w:style>
  <w:style w:type="paragraph" w:styleId="12">
    <w:name w:val="List 3"/>
    <w:basedOn w:val="1"/>
    <w:unhideWhenUsed/>
    <w:qFormat/>
    <w:uiPriority w:val="0"/>
    <w:pPr>
      <w:ind w:left="100" w:leftChars="400" w:hanging="200" w:hangingChars="200"/>
    </w:pPr>
  </w:style>
  <w:style w:type="paragraph" w:styleId="13">
    <w:name w:val="toc 7"/>
    <w:basedOn w:val="1"/>
    <w:next w:val="1"/>
    <w:qFormat/>
    <w:uiPriority w:val="0"/>
    <w:pPr>
      <w:ind w:left="1260"/>
      <w:jc w:val="left"/>
    </w:pPr>
    <w:rPr>
      <w:rFonts w:ascii="仿宋_GB2312" w:eastAsia="仿宋_GB2312"/>
      <w:sz w:val="18"/>
      <w:szCs w:val="18"/>
    </w:rPr>
  </w:style>
  <w:style w:type="paragraph" w:styleId="14">
    <w:name w:val="index 8"/>
    <w:basedOn w:val="1"/>
    <w:next w:val="1"/>
    <w:qFormat/>
    <w:uiPriority w:val="0"/>
    <w:pPr>
      <w:widowControl/>
      <w:ind w:left="1920" w:hanging="240"/>
      <w:jc w:val="left"/>
    </w:pPr>
    <w:rPr>
      <w:rFonts w:ascii="仿宋_GB2312" w:eastAsia="仿宋_GB2312"/>
      <w:kern w:val="0"/>
      <w:sz w:val="24"/>
      <w:szCs w:val="28"/>
    </w:rPr>
  </w:style>
  <w:style w:type="paragraph" w:styleId="15">
    <w:name w:val="Normal Indent"/>
    <w:basedOn w:val="1"/>
    <w:link w:val="90"/>
    <w:qFormat/>
    <w:uiPriority w:val="0"/>
    <w:pPr>
      <w:widowControl/>
      <w:adjustRightInd w:val="0"/>
      <w:snapToGrid w:val="0"/>
      <w:spacing w:line="480" w:lineRule="exact"/>
      <w:ind w:firstLine="567"/>
    </w:pPr>
    <w:rPr>
      <w:rFonts w:ascii="宋体"/>
      <w:snapToGrid w:val="0"/>
      <w:color w:val="000000"/>
      <w:kern w:val="28"/>
      <w:sz w:val="28"/>
    </w:rPr>
  </w:style>
  <w:style w:type="paragraph" w:styleId="16">
    <w:name w:val="caption"/>
    <w:basedOn w:val="1"/>
    <w:next w:val="1"/>
    <w:qFormat/>
    <w:uiPriority w:val="0"/>
    <w:pPr>
      <w:widowControl/>
      <w:spacing w:after="480"/>
      <w:jc w:val="left"/>
    </w:pPr>
    <w:rPr>
      <w:rFonts w:ascii="Calibri" w:hAnsi="Calibri"/>
      <w:b/>
      <w:bCs/>
      <w:color w:val="4F81BD"/>
      <w:kern w:val="0"/>
      <w:sz w:val="18"/>
      <w:szCs w:val="18"/>
      <w:lang w:eastAsia="en-US" w:bidi="en-US"/>
    </w:rPr>
  </w:style>
  <w:style w:type="paragraph" w:styleId="17">
    <w:name w:val="index 5"/>
    <w:basedOn w:val="1"/>
    <w:next w:val="1"/>
    <w:qFormat/>
    <w:uiPriority w:val="0"/>
    <w:pPr>
      <w:widowControl/>
      <w:ind w:left="1200" w:hanging="240"/>
      <w:jc w:val="left"/>
    </w:pPr>
    <w:rPr>
      <w:rFonts w:ascii="仿宋_GB2312" w:eastAsia="仿宋_GB2312"/>
      <w:kern w:val="0"/>
      <w:sz w:val="24"/>
      <w:szCs w:val="28"/>
    </w:rPr>
  </w:style>
  <w:style w:type="paragraph" w:styleId="18">
    <w:name w:val="List Bullet"/>
    <w:basedOn w:val="19"/>
    <w:qFormat/>
    <w:uiPriority w:val="0"/>
    <w:pPr>
      <w:widowControl/>
      <w:numPr>
        <w:ilvl w:val="0"/>
        <w:numId w:val="2"/>
      </w:numPr>
      <w:tabs>
        <w:tab w:val="left" w:pos="840"/>
        <w:tab w:val="clear" w:pos="420"/>
      </w:tabs>
      <w:spacing w:line="360" w:lineRule="auto"/>
      <w:ind w:right="720" w:firstLineChars="0"/>
      <w:jc w:val="left"/>
    </w:pPr>
    <w:rPr>
      <w:kern w:val="0"/>
      <w:sz w:val="24"/>
      <w:szCs w:val="20"/>
    </w:rPr>
  </w:style>
  <w:style w:type="paragraph" w:styleId="19">
    <w:name w:val="List"/>
    <w:basedOn w:val="1"/>
    <w:qFormat/>
    <w:uiPriority w:val="0"/>
    <w:pPr>
      <w:ind w:left="200" w:hanging="200" w:hangingChars="200"/>
    </w:pPr>
    <w:rPr>
      <w:rFonts w:ascii="仿宋_GB2312" w:eastAsia="仿宋_GB2312"/>
      <w:sz w:val="28"/>
      <w:szCs w:val="28"/>
    </w:rPr>
  </w:style>
  <w:style w:type="paragraph" w:styleId="20">
    <w:name w:val="Document Map"/>
    <w:basedOn w:val="1"/>
    <w:link w:val="164"/>
    <w:qFormat/>
    <w:uiPriority w:val="0"/>
    <w:pPr>
      <w:shd w:val="clear" w:color="auto" w:fill="000080"/>
    </w:pPr>
    <w:rPr>
      <w:kern w:val="0"/>
      <w:sz w:val="20"/>
      <w:szCs w:val="24"/>
      <w:shd w:val="clear" w:color="auto" w:fill="000080"/>
    </w:rPr>
  </w:style>
  <w:style w:type="paragraph" w:styleId="21">
    <w:name w:val="annotation text"/>
    <w:basedOn w:val="1"/>
    <w:link w:val="176"/>
    <w:unhideWhenUsed/>
    <w:qFormat/>
    <w:uiPriority w:val="0"/>
    <w:pPr>
      <w:jc w:val="left"/>
    </w:pPr>
    <w:rPr>
      <w:rFonts w:ascii="仿宋_GB2312" w:eastAsia="仿宋_GB2312"/>
      <w:sz w:val="28"/>
      <w:szCs w:val="28"/>
    </w:rPr>
  </w:style>
  <w:style w:type="paragraph" w:styleId="22">
    <w:name w:val="index 6"/>
    <w:basedOn w:val="1"/>
    <w:next w:val="1"/>
    <w:qFormat/>
    <w:uiPriority w:val="0"/>
    <w:pPr>
      <w:widowControl/>
      <w:ind w:left="1440" w:hanging="240"/>
      <w:jc w:val="left"/>
    </w:pPr>
    <w:rPr>
      <w:rFonts w:ascii="仿宋_GB2312" w:eastAsia="仿宋_GB2312"/>
      <w:kern w:val="0"/>
      <w:sz w:val="24"/>
      <w:szCs w:val="28"/>
    </w:rPr>
  </w:style>
  <w:style w:type="paragraph" w:styleId="23">
    <w:name w:val="Body Text 3"/>
    <w:basedOn w:val="1"/>
    <w:link w:val="127"/>
    <w:qFormat/>
    <w:uiPriority w:val="0"/>
    <w:rPr>
      <w:rFonts w:ascii="宋体" w:hAnsi="宋体"/>
      <w:b/>
      <w:bCs/>
      <w:sz w:val="24"/>
      <w:szCs w:val="24"/>
    </w:rPr>
  </w:style>
  <w:style w:type="paragraph" w:styleId="24">
    <w:name w:val="Body Text Indent"/>
    <w:basedOn w:val="1"/>
    <w:next w:val="25"/>
    <w:link w:val="84"/>
    <w:qFormat/>
    <w:uiPriority w:val="0"/>
    <w:pPr>
      <w:spacing w:line="360" w:lineRule="auto"/>
      <w:ind w:firstLine="435"/>
    </w:pPr>
    <w:rPr>
      <w:sz w:val="28"/>
      <w:szCs w:val="24"/>
    </w:rPr>
  </w:style>
  <w:style w:type="paragraph" w:styleId="25">
    <w:name w:val="Body Text First Indent 2"/>
    <w:basedOn w:val="24"/>
    <w:qFormat/>
    <w:uiPriority w:val="99"/>
    <w:pPr>
      <w:tabs>
        <w:tab w:val="left" w:pos="0"/>
        <w:tab w:val="left" w:pos="993"/>
        <w:tab w:val="left" w:pos="1134"/>
      </w:tabs>
      <w:ind w:firstLine="420"/>
    </w:pPr>
    <w:rPr>
      <w:rFonts w:ascii="宋体" w:cs="宋体"/>
      <w:kern w:val="0"/>
      <w:szCs w:val="21"/>
    </w:rPr>
  </w:style>
  <w:style w:type="paragraph" w:styleId="26">
    <w:name w:val="List Number 3"/>
    <w:basedOn w:val="1"/>
    <w:qFormat/>
    <w:uiPriority w:val="0"/>
    <w:pPr>
      <w:numPr>
        <w:ilvl w:val="0"/>
        <w:numId w:val="3"/>
      </w:numPr>
      <w:contextualSpacing/>
    </w:pPr>
    <w:rPr>
      <w:rFonts w:ascii="仿宋_GB2312" w:eastAsia="仿宋_GB2312"/>
      <w:sz w:val="28"/>
      <w:szCs w:val="28"/>
    </w:rPr>
  </w:style>
  <w:style w:type="paragraph" w:styleId="27">
    <w:name w:val="List 2"/>
    <w:basedOn w:val="19"/>
    <w:qFormat/>
    <w:uiPriority w:val="0"/>
    <w:pPr>
      <w:spacing w:after="120" w:line="400" w:lineRule="exact"/>
      <w:ind w:left="0" w:firstLine="0" w:firstLineChars="0"/>
    </w:pPr>
    <w:rPr>
      <w:sz w:val="24"/>
      <w:szCs w:val="20"/>
    </w:rPr>
  </w:style>
  <w:style w:type="paragraph" w:styleId="28">
    <w:name w:val="List Bullet 2"/>
    <w:basedOn w:val="1"/>
    <w:qFormat/>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9">
    <w:name w:val="index 4"/>
    <w:basedOn w:val="1"/>
    <w:next w:val="1"/>
    <w:qFormat/>
    <w:uiPriority w:val="0"/>
    <w:pPr>
      <w:widowControl/>
      <w:ind w:left="960" w:hanging="240"/>
      <w:jc w:val="left"/>
    </w:pPr>
    <w:rPr>
      <w:rFonts w:ascii="仿宋_GB2312" w:eastAsia="仿宋_GB2312"/>
      <w:kern w:val="0"/>
      <w:sz w:val="24"/>
      <w:szCs w:val="28"/>
    </w:rPr>
  </w:style>
  <w:style w:type="paragraph" w:styleId="30">
    <w:name w:val="toc 5"/>
    <w:basedOn w:val="1"/>
    <w:next w:val="1"/>
    <w:qFormat/>
    <w:uiPriority w:val="0"/>
    <w:pPr>
      <w:ind w:left="840"/>
      <w:jc w:val="left"/>
    </w:pPr>
    <w:rPr>
      <w:rFonts w:ascii="仿宋_GB2312" w:eastAsia="仿宋_GB2312"/>
      <w:sz w:val="18"/>
      <w:szCs w:val="18"/>
    </w:rPr>
  </w:style>
  <w:style w:type="paragraph" w:styleId="31">
    <w:name w:val="toc 3"/>
    <w:basedOn w:val="1"/>
    <w:next w:val="1"/>
    <w:qFormat/>
    <w:uiPriority w:val="0"/>
    <w:pPr>
      <w:ind w:left="420"/>
      <w:jc w:val="left"/>
    </w:pPr>
    <w:rPr>
      <w:rFonts w:ascii="仿宋_GB2312" w:eastAsia="仿宋_GB2312"/>
      <w:i/>
      <w:iCs/>
      <w:sz w:val="20"/>
    </w:rPr>
  </w:style>
  <w:style w:type="paragraph" w:styleId="32">
    <w:name w:val="Plain Text"/>
    <w:basedOn w:val="1"/>
    <w:next w:val="1"/>
    <w:link w:val="123"/>
    <w:qFormat/>
    <w:uiPriority w:val="0"/>
    <w:rPr>
      <w:rFonts w:ascii="宋体" w:hAnsi="Courier New"/>
    </w:rPr>
  </w:style>
  <w:style w:type="paragraph" w:styleId="33">
    <w:name w:val="toc 8"/>
    <w:basedOn w:val="1"/>
    <w:next w:val="1"/>
    <w:qFormat/>
    <w:uiPriority w:val="0"/>
    <w:pPr>
      <w:ind w:left="1470"/>
      <w:jc w:val="left"/>
    </w:pPr>
    <w:rPr>
      <w:rFonts w:ascii="仿宋_GB2312" w:eastAsia="仿宋_GB2312"/>
      <w:sz w:val="18"/>
      <w:szCs w:val="18"/>
    </w:rPr>
  </w:style>
  <w:style w:type="paragraph" w:styleId="34">
    <w:name w:val="index 3"/>
    <w:basedOn w:val="1"/>
    <w:next w:val="1"/>
    <w:qFormat/>
    <w:uiPriority w:val="0"/>
    <w:pPr>
      <w:widowControl/>
      <w:ind w:left="720" w:hanging="240"/>
      <w:jc w:val="left"/>
    </w:pPr>
    <w:rPr>
      <w:rFonts w:ascii="仿宋_GB2312" w:eastAsia="仿宋_GB2312"/>
      <w:kern w:val="0"/>
      <w:sz w:val="24"/>
      <w:szCs w:val="28"/>
    </w:rPr>
  </w:style>
  <w:style w:type="paragraph" w:styleId="35">
    <w:name w:val="Date"/>
    <w:basedOn w:val="1"/>
    <w:next w:val="1"/>
    <w:link w:val="163"/>
    <w:qFormat/>
    <w:uiPriority w:val="0"/>
    <w:pPr>
      <w:ind w:left="100" w:leftChars="2500"/>
    </w:pPr>
  </w:style>
  <w:style w:type="paragraph" w:styleId="36">
    <w:name w:val="Body Text Indent 2"/>
    <w:basedOn w:val="1"/>
    <w:link w:val="83"/>
    <w:qFormat/>
    <w:uiPriority w:val="0"/>
    <w:pPr>
      <w:spacing w:line="432" w:lineRule="auto"/>
      <w:ind w:firstLine="480" w:firstLineChars="200"/>
    </w:pPr>
    <w:rPr>
      <w:sz w:val="24"/>
      <w:szCs w:val="21"/>
    </w:rPr>
  </w:style>
  <w:style w:type="paragraph" w:styleId="37">
    <w:name w:val="endnote text"/>
    <w:basedOn w:val="1"/>
    <w:link w:val="185"/>
    <w:qFormat/>
    <w:uiPriority w:val="0"/>
    <w:pPr>
      <w:snapToGrid w:val="0"/>
      <w:jc w:val="left"/>
    </w:pPr>
    <w:rPr>
      <w:rFonts w:ascii="仿宋_GB2312" w:eastAsia="仿宋_GB2312"/>
      <w:sz w:val="28"/>
      <w:szCs w:val="28"/>
    </w:rPr>
  </w:style>
  <w:style w:type="paragraph" w:styleId="38">
    <w:name w:val="Balloon Text"/>
    <w:basedOn w:val="1"/>
    <w:link w:val="128"/>
    <w:semiHidden/>
    <w:qFormat/>
    <w:uiPriority w:val="0"/>
    <w:rPr>
      <w:sz w:val="18"/>
      <w:szCs w:val="18"/>
    </w:rPr>
  </w:style>
  <w:style w:type="paragraph" w:styleId="39">
    <w:name w:val="footer"/>
    <w:basedOn w:val="1"/>
    <w:link w:val="75"/>
    <w:qFormat/>
    <w:uiPriority w:val="0"/>
    <w:pPr>
      <w:tabs>
        <w:tab w:val="center" w:pos="4153"/>
        <w:tab w:val="right" w:pos="8306"/>
      </w:tabs>
      <w:snapToGrid w:val="0"/>
      <w:jc w:val="left"/>
    </w:pPr>
    <w:rPr>
      <w:sz w:val="18"/>
      <w:szCs w:val="18"/>
    </w:rPr>
  </w:style>
  <w:style w:type="paragraph" w:styleId="40">
    <w:name w:val="header"/>
    <w:basedOn w:val="1"/>
    <w:link w:val="15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1">
    <w:name w:val="toc 1"/>
    <w:basedOn w:val="1"/>
    <w:next w:val="1"/>
    <w:semiHidden/>
    <w:qFormat/>
    <w:uiPriority w:val="0"/>
    <w:pPr>
      <w:tabs>
        <w:tab w:val="right" w:leader="dot" w:pos="9118"/>
      </w:tabs>
      <w:spacing w:line="300" w:lineRule="exact"/>
    </w:pPr>
    <w:rPr>
      <w:rFonts w:eastAsia="仿宋_GB2312"/>
      <w:sz w:val="32"/>
    </w:rPr>
  </w:style>
  <w:style w:type="paragraph" w:styleId="42">
    <w:name w:val="toc 4"/>
    <w:basedOn w:val="1"/>
    <w:next w:val="1"/>
    <w:qFormat/>
    <w:uiPriority w:val="0"/>
    <w:pPr>
      <w:ind w:left="630"/>
      <w:jc w:val="left"/>
    </w:pPr>
    <w:rPr>
      <w:rFonts w:ascii="仿宋_GB2312" w:eastAsia="仿宋_GB2312"/>
      <w:sz w:val="18"/>
      <w:szCs w:val="18"/>
    </w:rPr>
  </w:style>
  <w:style w:type="paragraph" w:styleId="43">
    <w:name w:val="index heading"/>
    <w:basedOn w:val="1"/>
    <w:next w:val="44"/>
    <w:qFormat/>
    <w:uiPriority w:val="0"/>
    <w:pPr>
      <w:widowControl/>
      <w:jc w:val="left"/>
    </w:pPr>
    <w:rPr>
      <w:rFonts w:ascii="仿宋_GB2312" w:eastAsia="仿宋_GB2312"/>
      <w:kern w:val="0"/>
      <w:sz w:val="24"/>
      <w:szCs w:val="28"/>
    </w:rPr>
  </w:style>
  <w:style w:type="paragraph" w:styleId="44">
    <w:name w:val="index 1"/>
    <w:basedOn w:val="1"/>
    <w:next w:val="1"/>
    <w:qFormat/>
    <w:uiPriority w:val="0"/>
    <w:pPr>
      <w:widowControl/>
      <w:spacing w:line="360" w:lineRule="auto"/>
      <w:ind w:left="240" w:hanging="240"/>
      <w:jc w:val="left"/>
    </w:pPr>
    <w:rPr>
      <w:rFonts w:ascii="Arial" w:hAnsi="Arial" w:eastAsia="仿宋_GB2312" w:cs="Arial"/>
      <w:kern w:val="0"/>
      <w:sz w:val="28"/>
      <w:szCs w:val="21"/>
    </w:rPr>
  </w:style>
  <w:style w:type="paragraph" w:styleId="45">
    <w:name w:val="Subtitle"/>
    <w:basedOn w:val="1"/>
    <w:next w:val="1"/>
    <w:qFormat/>
    <w:uiPriority w:val="0"/>
    <w:pPr>
      <w:widowControl/>
      <w:numPr>
        <w:ilvl w:val="0"/>
        <w:numId w:val="0"/>
      </w:numPr>
      <w:spacing w:after="480" w:line="276" w:lineRule="auto"/>
      <w:jc w:val="left"/>
    </w:pPr>
    <w:rPr>
      <w:rFonts w:ascii="Cambria" w:hAnsi="Cambria"/>
      <w:i/>
      <w:iCs/>
      <w:color w:val="4F81BD"/>
      <w:spacing w:val="15"/>
      <w:kern w:val="0"/>
      <w:sz w:val="24"/>
      <w:szCs w:val="24"/>
      <w:lang w:eastAsia="en-US" w:bidi="en-US"/>
    </w:rPr>
  </w:style>
  <w:style w:type="paragraph" w:styleId="46">
    <w:name w:val="footnote text"/>
    <w:basedOn w:val="1"/>
    <w:link w:val="106"/>
    <w:qFormat/>
    <w:uiPriority w:val="0"/>
    <w:pPr>
      <w:snapToGrid w:val="0"/>
      <w:jc w:val="left"/>
    </w:pPr>
    <w:rPr>
      <w:rFonts w:ascii="仿宋_GB2312" w:eastAsia="仿宋_GB2312"/>
      <w:sz w:val="18"/>
      <w:szCs w:val="18"/>
    </w:rPr>
  </w:style>
  <w:style w:type="paragraph" w:styleId="47">
    <w:name w:val="toc 6"/>
    <w:basedOn w:val="1"/>
    <w:next w:val="1"/>
    <w:qFormat/>
    <w:uiPriority w:val="0"/>
    <w:pPr>
      <w:ind w:left="1050"/>
      <w:jc w:val="left"/>
    </w:pPr>
    <w:rPr>
      <w:rFonts w:ascii="仿宋_GB2312" w:eastAsia="仿宋_GB2312"/>
      <w:sz w:val="18"/>
      <w:szCs w:val="18"/>
    </w:rPr>
  </w:style>
  <w:style w:type="paragraph" w:styleId="48">
    <w:name w:val="Body Text Indent 3"/>
    <w:basedOn w:val="1"/>
    <w:link w:val="129"/>
    <w:qFormat/>
    <w:uiPriority w:val="0"/>
    <w:pPr>
      <w:spacing w:line="540" w:lineRule="exact"/>
      <w:ind w:left="479" w:leftChars="228"/>
    </w:pPr>
    <w:rPr>
      <w:rFonts w:ascii="隶书" w:hAnsi="宋体" w:eastAsia="隶书"/>
      <w:szCs w:val="24"/>
    </w:rPr>
  </w:style>
  <w:style w:type="paragraph" w:styleId="49">
    <w:name w:val="index 7"/>
    <w:basedOn w:val="1"/>
    <w:next w:val="1"/>
    <w:qFormat/>
    <w:uiPriority w:val="0"/>
    <w:pPr>
      <w:widowControl/>
      <w:ind w:left="1680" w:hanging="240"/>
      <w:jc w:val="left"/>
    </w:pPr>
    <w:rPr>
      <w:rFonts w:ascii="仿宋_GB2312" w:eastAsia="仿宋_GB2312"/>
      <w:kern w:val="0"/>
      <w:sz w:val="24"/>
      <w:szCs w:val="28"/>
    </w:rPr>
  </w:style>
  <w:style w:type="paragraph" w:styleId="50">
    <w:name w:val="index 9"/>
    <w:basedOn w:val="1"/>
    <w:next w:val="1"/>
    <w:qFormat/>
    <w:uiPriority w:val="0"/>
    <w:pPr>
      <w:widowControl/>
      <w:ind w:left="2160" w:hanging="240"/>
      <w:jc w:val="left"/>
    </w:pPr>
    <w:rPr>
      <w:rFonts w:ascii="仿宋_GB2312" w:eastAsia="仿宋_GB2312"/>
      <w:kern w:val="0"/>
      <w:sz w:val="24"/>
      <w:szCs w:val="28"/>
    </w:rPr>
  </w:style>
  <w:style w:type="paragraph" w:styleId="51">
    <w:name w:val="table of figures"/>
    <w:basedOn w:val="1"/>
    <w:next w:val="1"/>
    <w:qFormat/>
    <w:uiPriority w:val="0"/>
    <w:pPr>
      <w:widowControl/>
      <w:ind w:left="480" w:hanging="480"/>
      <w:jc w:val="left"/>
    </w:pPr>
    <w:rPr>
      <w:rFonts w:ascii="仿宋_GB2312" w:eastAsia="仿宋_GB2312"/>
      <w:kern w:val="0"/>
      <w:sz w:val="24"/>
      <w:szCs w:val="28"/>
    </w:rPr>
  </w:style>
  <w:style w:type="paragraph" w:styleId="52">
    <w:name w:val="toc 2"/>
    <w:basedOn w:val="1"/>
    <w:next w:val="1"/>
    <w:qFormat/>
    <w:uiPriority w:val="0"/>
    <w:pPr>
      <w:ind w:left="210"/>
      <w:jc w:val="left"/>
    </w:pPr>
    <w:rPr>
      <w:rFonts w:ascii="仿宋_GB2312" w:eastAsia="仿宋_GB2312"/>
      <w:smallCaps/>
      <w:sz w:val="20"/>
    </w:rPr>
  </w:style>
  <w:style w:type="paragraph" w:styleId="53">
    <w:name w:val="toc 9"/>
    <w:basedOn w:val="1"/>
    <w:next w:val="1"/>
    <w:qFormat/>
    <w:uiPriority w:val="0"/>
    <w:pPr>
      <w:ind w:left="1680"/>
      <w:jc w:val="left"/>
    </w:pPr>
    <w:rPr>
      <w:rFonts w:ascii="仿宋_GB2312" w:eastAsia="仿宋_GB2312"/>
      <w:sz w:val="18"/>
      <w:szCs w:val="18"/>
    </w:rPr>
  </w:style>
  <w:style w:type="paragraph" w:styleId="54">
    <w:name w:val="Body Text 2"/>
    <w:basedOn w:val="1"/>
    <w:link w:val="135"/>
    <w:qFormat/>
    <w:uiPriority w:val="0"/>
    <w:pPr>
      <w:spacing w:line="360" w:lineRule="auto"/>
    </w:pPr>
    <w:rPr>
      <w:sz w:val="24"/>
      <w:szCs w:val="24"/>
    </w:rPr>
  </w:style>
  <w:style w:type="paragraph" w:styleId="5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szCs w:val="24"/>
    </w:rPr>
  </w:style>
  <w:style w:type="paragraph" w:styleId="56">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57">
    <w:name w:val="index 2"/>
    <w:basedOn w:val="1"/>
    <w:next w:val="1"/>
    <w:qFormat/>
    <w:uiPriority w:val="0"/>
    <w:pPr>
      <w:widowControl/>
      <w:ind w:left="480" w:hanging="240"/>
      <w:jc w:val="left"/>
    </w:pPr>
    <w:rPr>
      <w:rFonts w:ascii="仿宋_GB2312" w:eastAsia="仿宋_GB2312"/>
      <w:kern w:val="0"/>
      <w:sz w:val="24"/>
      <w:szCs w:val="28"/>
    </w:rPr>
  </w:style>
  <w:style w:type="paragraph" w:styleId="58">
    <w:name w:val="Title"/>
    <w:basedOn w:val="1"/>
    <w:next w:val="1"/>
    <w:link w:val="98"/>
    <w:qFormat/>
    <w:uiPriority w:val="0"/>
    <w:pPr>
      <w:jc w:val="center"/>
    </w:pPr>
    <w:rPr>
      <w:rFonts w:ascii="Arial" w:hAnsi="Arial"/>
      <w:b/>
      <w:kern w:val="0"/>
      <w:sz w:val="36"/>
      <w:lang w:eastAsia="en-US"/>
    </w:rPr>
  </w:style>
  <w:style w:type="paragraph" w:styleId="59">
    <w:name w:val="annotation subject"/>
    <w:basedOn w:val="21"/>
    <w:next w:val="21"/>
    <w:link w:val="122"/>
    <w:qFormat/>
    <w:uiPriority w:val="0"/>
    <w:rPr>
      <w:rFonts w:ascii="Times New Roman" w:eastAsia="宋体"/>
      <w:b/>
      <w:bCs/>
      <w:sz w:val="21"/>
      <w:szCs w:val="24"/>
    </w:rPr>
  </w:style>
  <w:style w:type="paragraph" w:styleId="60">
    <w:name w:val="Body Text First Indent"/>
    <w:basedOn w:val="2"/>
    <w:link w:val="76"/>
    <w:qFormat/>
    <w:uiPriority w:val="0"/>
    <w:pPr>
      <w:adjustRightInd w:val="0"/>
      <w:spacing w:after="120" w:line="360" w:lineRule="auto"/>
      <w:ind w:firstLine="420"/>
      <w:textAlignment w:val="baseline"/>
    </w:pPr>
    <w:rPr>
      <w:rFonts w:ascii="Calibri" w:hAnsi="Calibri" w:eastAsia="楷体_GB2312"/>
      <w:b w:val="0"/>
      <w:bCs w:val="0"/>
      <w:spacing w:val="0"/>
      <w:kern w:val="0"/>
      <w:sz w:val="24"/>
      <w:szCs w:val="20"/>
    </w:rPr>
  </w:style>
  <w:style w:type="table" w:styleId="62">
    <w:name w:val="Table Grid"/>
    <w:basedOn w:val="6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Elegant"/>
    <w:basedOn w:val="61"/>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4">
    <w:name w:val="Table Classic 1"/>
    <w:basedOn w:val="61"/>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66">
    <w:name w:val="Strong"/>
    <w:qFormat/>
    <w:uiPriority w:val="0"/>
    <w:rPr>
      <w:rFonts w:ascii="Verdana" w:hAnsi="Verdana" w:eastAsia="仿宋_GB2312"/>
      <w:b/>
      <w:bCs/>
      <w:kern w:val="0"/>
      <w:sz w:val="28"/>
      <w:lang w:eastAsia="en-US"/>
    </w:rPr>
  </w:style>
  <w:style w:type="character" w:styleId="67">
    <w:name w:val="endnote reference"/>
    <w:qFormat/>
    <w:uiPriority w:val="0"/>
    <w:rPr>
      <w:rFonts w:ascii="Verdana" w:hAnsi="Verdana" w:eastAsia="仿宋_GB2312"/>
      <w:kern w:val="0"/>
      <w:sz w:val="28"/>
      <w:vertAlign w:val="superscript"/>
      <w:lang w:eastAsia="en-US"/>
    </w:rPr>
  </w:style>
  <w:style w:type="character" w:styleId="68">
    <w:name w:val="page number"/>
    <w:basedOn w:val="65"/>
    <w:qFormat/>
    <w:uiPriority w:val="0"/>
  </w:style>
  <w:style w:type="character" w:styleId="69">
    <w:name w:val="FollowedHyperlink"/>
    <w:qFormat/>
    <w:uiPriority w:val="0"/>
    <w:rPr>
      <w:rFonts w:ascii="Verdana" w:hAnsi="Verdana" w:eastAsia="仿宋_GB2312"/>
      <w:color w:val="800080"/>
      <w:kern w:val="0"/>
      <w:sz w:val="28"/>
      <w:u w:val="single"/>
      <w:lang w:eastAsia="en-US"/>
    </w:rPr>
  </w:style>
  <w:style w:type="character" w:styleId="70">
    <w:name w:val="Emphasis"/>
    <w:qFormat/>
    <w:uiPriority w:val="0"/>
    <w:rPr>
      <w:color w:val="CC0000"/>
    </w:rPr>
  </w:style>
  <w:style w:type="character" w:styleId="71">
    <w:name w:val="Hyperlink"/>
    <w:qFormat/>
    <w:uiPriority w:val="0"/>
    <w:rPr>
      <w:rFonts w:ascii="Verdana" w:hAnsi="Verdana" w:eastAsia="仿宋_GB2312"/>
      <w:color w:val="0000FF"/>
      <w:kern w:val="0"/>
      <w:sz w:val="28"/>
      <w:u w:val="single"/>
      <w:lang w:eastAsia="en-US"/>
    </w:rPr>
  </w:style>
  <w:style w:type="character" w:styleId="72">
    <w:name w:val="annotation reference"/>
    <w:qFormat/>
    <w:uiPriority w:val="0"/>
    <w:rPr>
      <w:rFonts w:ascii="Verdana" w:hAnsi="Verdana" w:eastAsia="仿宋_GB2312"/>
      <w:kern w:val="0"/>
      <w:sz w:val="21"/>
      <w:szCs w:val="21"/>
      <w:lang w:eastAsia="en-US"/>
    </w:rPr>
  </w:style>
  <w:style w:type="character" w:styleId="73">
    <w:name w:val="footnote reference"/>
    <w:qFormat/>
    <w:uiPriority w:val="0"/>
    <w:rPr>
      <w:rFonts w:ascii="Verdana" w:hAnsi="Verdana" w:eastAsia="仿宋_GB2312"/>
      <w:kern w:val="0"/>
      <w:sz w:val="28"/>
      <w:vertAlign w:val="superscript"/>
      <w:lang w:eastAsia="en-US"/>
    </w:rPr>
  </w:style>
  <w:style w:type="character" w:customStyle="1" w:styleId="74">
    <w:name w:val="_Style 73"/>
    <w:qFormat/>
    <w:uiPriority w:val="0"/>
    <w:rPr>
      <w:rFonts w:ascii="Verdana" w:hAnsi="Verdana" w:eastAsia="仿宋_GB2312"/>
      <w:i/>
      <w:iCs/>
      <w:color w:val="808080"/>
      <w:kern w:val="0"/>
      <w:sz w:val="28"/>
      <w:lang w:eastAsia="en-US"/>
    </w:rPr>
  </w:style>
  <w:style w:type="character" w:customStyle="1" w:styleId="75">
    <w:name w:val="页脚 Char"/>
    <w:link w:val="39"/>
    <w:qFormat/>
    <w:uiPriority w:val="0"/>
    <w:rPr>
      <w:rFonts w:ascii="Verdana" w:hAnsi="Verdana" w:eastAsia="宋体"/>
      <w:kern w:val="2"/>
      <w:sz w:val="18"/>
      <w:szCs w:val="18"/>
      <w:lang w:val="en-US" w:eastAsia="zh-CN" w:bidi="ar-SA"/>
    </w:rPr>
  </w:style>
  <w:style w:type="character" w:customStyle="1" w:styleId="76">
    <w:name w:val="正文首行缩进 Char"/>
    <w:link w:val="60"/>
    <w:qFormat/>
    <w:uiPriority w:val="0"/>
    <w:rPr>
      <w:rFonts w:ascii="Calibri" w:hAnsi="Calibri" w:eastAsia="楷体_GB2312"/>
      <w:kern w:val="0"/>
      <w:sz w:val="24"/>
      <w:lang w:eastAsia="en-US" w:bidi="ar-SA"/>
    </w:rPr>
  </w:style>
  <w:style w:type="character" w:customStyle="1" w:styleId="77">
    <w:name w:val="style321"/>
    <w:qFormat/>
    <w:uiPriority w:val="0"/>
    <w:rPr>
      <w:rFonts w:ascii="Verdana" w:hAnsi="Verdana" w:eastAsia="仿宋_GB2312"/>
      <w:b/>
      <w:bCs/>
      <w:color w:val="FF9900"/>
      <w:kern w:val="0"/>
      <w:sz w:val="23"/>
      <w:szCs w:val="23"/>
      <w:lang w:eastAsia="en-US"/>
    </w:rPr>
  </w:style>
  <w:style w:type="character" w:customStyle="1" w:styleId="78">
    <w:name w:val="font1"/>
    <w:qFormat/>
    <w:uiPriority w:val="0"/>
    <w:rPr>
      <w:rFonts w:ascii="Verdana" w:hAnsi="Verdana" w:eastAsia="仿宋_GB2312"/>
      <w:color w:val="333333"/>
      <w:kern w:val="0"/>
      <w:sz w:val="18"/>
      <w:szCs w:val="18"/>
      <w:u w:val="none"/>
      <w:lang w:eastAsia="en-US"/>
    </w:rPr>
  </w:style>
  <w:style w:type="character" w:customStyle="1" w:styleId="79">
    <w:name w:val="Heading 2 Hidden Char2"/>
    <w:qFormat/>
    <w:uiPriority w:val="0"/>
    <w:rPr>
      <w:rFonts w:ascii="Cambria" w:hAnsi="Cambria" w:eastAsia="宋体" w:cs="Times New Roman"/>
      <w:b/>
      <w:bCs/>
      <w:color w:val="4F81BD"/>
      <w:kern w:val="0"/>
      <w:sz w:val="26"/>
      <w:szCs w:val="26"/>
      <w:lang w:eastAsia="en-US"/>
    </w:rPr>
  </w:style>
  <w:style w:type="character" w:customStyle="1" w:styleId="80">
    <w:name w:val="font21"/>
    <w:qFormat/>
    <w:uiPriority w:val="0"/>
    <w:rPr>
      <w:rFonts w:hint="eastAsia" w:ascii="楷体_GB2312" w:hAnsi="Verdana" w:eastAsia="楷体_GB2312"/>
      <w:color w:val="000000"/>
      <w:kern w:val="0"/>
      <w:sz w:val="21"/>
      <w:szCs w:val="21"/>
      <w:u w:val="single"/>
      <w:lang w:eastAsia="en-US"/>
    </w:rPr>
  </w:style>
  <w:style w:type="character" w:customStyle="1" w:styleId="81">
    <w:name w:val="正文文本 Char3"/>
    <w:link w:val="2"/>
    <w:qFormat/>
    <w:uiPriority w:val="0"/>
    <w:rPr>
      <w:rFonts w:eastAsia="黑体"/>
      <w:b/>
      <w:bCs/>
      <w:spacing w:val="20"/>
      <w:kern w:val="52"/>
      <w:sz w:val="56"/>
      <w:szCs w:val="24"/>
      <w:lang w:val="en-US" w:eastAsia="zh-CN" w:bidi="ar-SA"/>
    </w:rPr>
  </w:style>
  <w:style w:type="character" w:customStyle="1" w:styleId="82">
    <w:name w:val="text1"/>
    <w:qFormat/>
    <w:uiPriority w:val="0"/>
    <w:rPr>
      <w:rFonts w:hint="eastAsia" w:ascii="宋体" w:hAnsi="宋体" w:eastAsia="宋体"/>
      <w:color w:val="000099"/>
      <w:kern w:val="0"/>
      <w:sz w:val="18"/>
      <w:szCs w:val="18"/>
      <w:lang w:eastAsia="en-US"/>
    </w:rPr>
  </w:style>
  <w:style w:type="character" w:customStyle="1" w:styleId="83">
    <w:name w:val="正文文本缩进 2 Char"/>
    <w:link w:val="36"/>
    <w:semiHidden/>
    <w:qFormat/>
    <w:uiPriority w:val="0"/>
    <w:rPr>
      <w:rFonts w:ascii="Verdana" w:hAnsi="Verdana" w:eastAsia="宋体"/>
      <w:kern w:val="2"/>
      <w:sz w:val="24"/>
      <w:szCs w:val="21"/>
      <w:lang w:val="en-US" w:eastAsia="zh-CN" w:bidi="ar-SA"/>
    </w:rPr>
  </w:style>
  <w:style w:type="character" w:customStyle="1" w:styleId="84">
    <w:name w:val="正文文本缩进 Char2"/>
    <w:link w:val="24"/>
    <w:qFormat/>
    <w:uiPriority w:val="0"/>
    <w:rPr>
      <w:rFonts w:ascii="Verdana" w:hAnsi="Verdana" w:eastAsia="宋体"/>
      <w:kern w:val="2"/>
      <w:sz w:val="28"/>
      <w:szCs w:val="24"/>
      <w:lang w:val="en-US" w:eastAsia="zh-CN" w:bidi="ar-SA"/>
    </w:rPr>
  </w:style>
  <w:style w:type="character" w:customStyle="1" w:styleId="85">
    <w:name w:val="标题 3 Char"/>
    <w:link w:val="5"/>
    <w:qFormat/>
    <w:uiPriority w:val="0"/>
    <w:rPr>
      <w:rFonts w:ascii="Verdana" w:hAnsi="Verdana" w:eastAsia="宋体"/>
      <w:b/>
      <w:bCs/>
      <w:kern w:val="2"/>
      <w:sz w:val="32"/>
      <w:szCs w:val="32"/>
      <w:lang w:val="en-US" w:eastAsia="zh-CN" w:bidi="ar-SA"/>
    </w:rPr>
  </w:style>
  <w:style w:type="character" w:customStyle="1" w:styleId="86">
    <w:name w:val="普通文字 Char Char4"/>
    <w:qFormat/>
    <w:uiPriority w:val="0"/>
    <w:rPr>
      <w:rFonts w:ascii="宋体" w:hAnsi="Courier New" w:eastAsia="宋体"/>
      <w:kern w:val="0"/>
      <w:sz w:val="21"/>
      <w:lang w:val="en-US" w:eastAsia="zh-CN" w:bidi="ar-SA"/>
    </w:rPr>
  </w:style>
  <w:style w:type="character" w:customStyle="1" w:styleId="87">
    <w:name w:val="maincontenttable1"/>
    <w:qFormat/>
    <w:uiPriority w:val="0"/>
    <w:rPr>
      <w:rFonts w:ascii="Verdana" w:hAnsi="Verdana" w:eastAsia="仿宋_GB2312"/>
      <w:kern w:val="0"/>
      <w:sz w:val="18"/>
      <w:szCs w:val="18"/>
      <w:lang w:eastAsia="en-US"/>
    </w:rPr>
  </w:style>
  <w:style w:type="character" w:customStyle="1" w:styleId="88">
    <w:name w:val="标题 1 Char"/>
    <w:link w:val="3"/>
    <w:qFormat/>
    <w:uiPriority w:val="0"/>
    <w:rPr>
      <w:rFonts w:ascii="Verdana" w:hAnsi="Verdana" w:eastAsia="宋体"/>
      <w:b/>
      <w:bCs/>
      <w:kern w:val="44"/>
      <w:sz w:val="44"/>
      <w:szCs w:val="44"/>
      <w:lang w:val="en-US" w:eastAsia="zh-CN" w:bidi="ar-SA"/>
    </w:rPr>
  </w:style>
  <w:style w:type="character" w:customStyle="1" w:styleId="89">
    <w:name w:val="正文文本缩进 Char"/>
    <w:qFormat/>
    <w:uiPriority w:val="0"/>
    <w:rPr>
      <w:rFonts w:ascii="仿宋_GB2312" w:hAnsi="Times New Roman" w:eastAsia="仿宋_GB2312" w:cs="Times New Roman"/>
      <w:kern w:val="0"/>
      <w:sz w:val="28"/>
      <w:szCs w:val="28"/>
      <w:lang w:eastAsia="en-US"/>
    </w:rPr>
  </w:style>
  <w:style w:type="character" w:customStyle="1" w:styleId="90">
    <w:name w:val="正文缩进 Char"/>
    <w:link w:val="15"/>
    <w:qFormat/>
    <w:uiPriority w:val="0"/>
    <w:rPr>
      <w:rFonts w:ascii="宋体" w:hAnsi="Verdana" w:eastAsia="宋体"/>
      <w:snapToGrid w:val="0"/>
      <w:color w:val="000000"/>
      <w:kern w:val="28"/>
      <w:sz w:val="28"/>
      <w:lang w:val="en-US" w:eastAsia="zh-CN" w:bidi="ar-SA"/>
    </w:rPr>
  </w:style>
  <w:style w:type="character" w:customStyle="1" w:styleId="91">
    <w:name w:val="bei2"/>
    <w:basedOn w:val="65"/>
    <w:qFormat/>
    <w:uiPriority w:val="0"/>
  </w:style>
  <w:style w:type="character" w:customStyle="1" w:styleId="92">
    <w:name w:val="标题 6 Char"/>
    <w:link w:val="8"/>
    <w:qFormat/>
    <w:uiPriority w:val="0"/>
    <w:rPr>
      <w:rFonts w:ascii="Arial" w:hAnsi="Arial" w:eastAsia="仿宋_GB2312"/>
      <w:i/>
      <w:kern w:val="0"/>
      <w:sz w:val="22"/>
      <w:lang w:val="en-US" w:eastAsia="zh-CN" w:bidi="ar-SA"/>
    </w:rPr>
  </w:style>
  <w:style w:type="character" w:customStyle="1" w:styleId="93">
    <w:name w:val="H5 Char"/>
    <w:qFormat/>
    <w:uiPriority w:val="0"/>
    <w:rPr>
      <w:rFonts w:ascii="Arial" w:hAnsi="Arial" w:eastAsia="仿宋_GB2312"/>
      <w:kern w:val="0"/>
      <w:sz w:val="22"/>
      <w:lang w:eastAsia="en-US"/>
    </w:rPr>
  </w:style>
  <w:style w:type="character" w:customStyle="1" w:styleId="94">
    <w:name w:val="日期 Char1"/>
    <w:semiHidden/>
    <w:qFormat/>
    <w:uiPriority w:val="0"/>
    <w:rPr>
      <w:rFonts w:ascii="仿宋_GB2312" w:hAnsi="Times New Roman" w:eastAsia="仿宋_GB2312" w:cs="Times New Roman"/>
      <w:kern w:val="0"/>
      <w:sz w:val="28"/>
      <w:szCs w:val="28"/>
      <w:lang w:eastAsia="en-US"/>
    </w:rPr>
  </w:style>
  <w:style w:type="character" w:customStyle="1" w:styleId="95">
    <w:name w:val="EHPT Char2"/>
    <w:qFormat/>
    <w:uiPriority w:val="0"/>
    <w:rPr>
      <w:rFonts w:ascii="Calibri" w:hAnsi="Calibri"/>
      <w:kern w:val="2"/>
      <w:sz w:val="21"/>
      <w:szCs w:val="22"/>
    </w:rPr>
  </w:style>
  <w:style w:type="character" w:customStyle="1" w:styleId="96">
    <w:name w:val="ca-3"/>
    <w:basedOn w:val="65"/>
    <w:qFormat/>
    <w:uiPriority w:val="0"/>
  </w:style>
  <w:style w:type="character" w:customStyle="1" w:styleId="97">
    <w:name w:val="标题 2 Char"/>
    <w:qFormat/>
    <w:uiPriority w:val="0"/>
    <w:rPr>
      <w:rFonts w:ascii="宋体" w:hAnsi="宋体" w:eastAsia="黑体"/>
      <w:b/>
      <w:bCs/>
      <w:kern w:val="2"/>
      <w:sz w:val="24"/>
      <w:szCs w:val="32"/>
      <w:lang w:val="en-US" w:eastAsia="zh-CN" w:bidi="ar-SA"/>
    </w:rPr>
  </w:style>
  <w:style w:type="character" w:customStyle="1" w:styleId="98">
    <w:name w:val="标题 Char"/>
    <w:link w:val="58"/>
    <w:qFormat/>
    <w:uiPriority w:val="0"/>
    <w:rPr>
      <w:rFonts w:ascii="Arial" w:hAnsi="Arial" w:eastAsia="宋体"/>
      <w:b/>
      <w:kern w:val="0"/>
      <w:sz w:val="36"/>
      <w:lang w:eastAsia="en-US" w:bidi="ar-SA"/>
    </w:rPr>
  </w:style>
  <w:style w:type="character" w:customStyle="1" w:styleId="99">
    <w:name w:val="纯文本 Char1"/>
    <w:semiHidden/>
    <w:qFormat/>
    <w:uiPriority w:val="0"/>
    <w:rPr>
      <w:rFonts w:ascii="宋体" w:hAnsi="Courier New" w:eastAsia="宋体" w:cs="Courier New"/>
      <w:kern w:val="0"/>
      <w:sz w:val="28"/>
      <w:szCs w:val="21"/>
      <w:lang w:eastAsia="en-US"/>
    </w:rPr>
  </w:style>
  <w:style w:type="character" w:customStyle="1" w:styleId="100">
    <w:name w:val="普通文字 Char Char8"/>
    <w:qFormat/>
    <w:uiPriority w:val="0"/>
    <w:rPr>
      <w:rFonts w:ascii="宋体" w:hAnsi="Courier New" w:eastAsia="宋体"/>
      <w:kern w:val="0"/>
      <w:sz w:val="28"/>
      <w:lang w:eastAsia="en-US"/>
    </w:rPr>
  </w:style>
  <w:style w:type="character" w:customStyle="1" w:styleId="101">
    <w:name w:val="标题 9 Char"/>
    <w:link w:val="11"/>
    <w:qFormat/>
    <w:uiPriority w:val="0"/>
    <w:rPr>
      <w:rFonts w:ascii="Arial" w:hAnsi="Arial" w:eastAsia="宋体"/>
      <w:i/>
      <w:kern w:val="2"/>
      <w:sz w:val="18"/>
      <w:szCs w:val="28"/>
      <w:lang w:val="en-US" w:eastAsia="zh-CN" w:bidi="ar-SA"/>
    </w:rPr>
  </w:style>
  <w:style w:type="character" w:customStyle="1" w:styleId="102">
    <w:name w:val="PI Char2"/>
    <w:qFormat/>
    <w:uiPriority w:val="0"/>
    <w:rPr>
      <w:rFonts w:ascii="仿宋_GB2312" w:hAnsi="Verdana" w:eastAsia="仿宋_GB2312"/>
      <w:kern w:val="2"/>
      <w:sz w:val="28"/>
      <w:szCs w:val="28"/>
      <w:lang w:val="zh-CN" w:eastAsia="zh-CN" w:bidi="ar-SA"/>
    </w:rPr>
  </w:style>
  <w:style w:type="character" w:customStyle="1" w:styleId="103">
    <w:name w:val="_Style 102"/>
    <w:qFormat/>
    <w:uiPriority w:val="0"/>
    <w:rPr>
      <w:rFonts w:ascii="Verdana" w:hAnsi="Verdana" w:eastAsia="仿宋_GB2312"/>
      <w:b/>
      <w:bCs/>
      <w:i/>
      <w:iCs/>
      <w:color w:val="4F81BD"/>
      <w:kern w:val="0"/>
      <w:sz w:val="28"/>
      <w:lang w:eastAsia="en-US"/>
    </w:rPr>
  </w:style>
  <w:style w:type="character" w:customStyle="1" w:styleId="104">
    <w:name w:val="批注主题 Char1"/>
    <w:semiHidden/>
    <w:qFormat/>
    <w:uiPriority w:val="0"/>
    <w:rPr>
      <w:rFonts w:ascii="仿宋_GB2312" w:hAnsi="Verdana" w:eastAsia="仿宋_GB2312"/>
      <w:b/>
      <w:bCs/>
      <w:kern w:val="2"/>
      <w:sz w:val="28"/>
      <w:szCs w:val="28"/>
      <w:lang w:val="en-US" w:eastAsia="zh-CN" w:bidi="ar-SA"/>
    </w:rPr>
  </w:style>
  <w:style w:type="character" w:customStyle="1" w:styleId="105">
    <w:name w:val="EHPT Char"/>
    <w:qFormat/>
    <w:uiPriority w:val="0"/>
    <w:rPr>
      <w:rFonts w:ascii="Calibri" w:hAnsi="Calibri" w:eastAsia="宋体"/>
      <w:kern w:val="2"/>
      <w:sz w:val="21"/>
      <w:szCs w:val="22"/>
      <w:lang w:val="en-US" w:eastAsia="zh-CN" w:bidi="ar-SA"/>
    </w:rPr>
  </w:style>
  <w:style w:type="character" w:customStyle="1" w:styleId="106">
    <w:name w:val="脚注文本 Char"/>
    <w:link w:val="46"/>
    <w:qFormat/>
    <w:uiPriority w:val="0"/>
    <w:rPr>
      <w:rFonts w:ascii="仿宋_GB2312" w:hAnsi="Verdana" w:eastAsia="仿宋_GB2312"/>
      <w:kern w:val="2"/>
      <w:sz w:val="18"/>
      <w:szCs w:val="18"/>
      <w:lang w:val="en-US" w:eastAsia="zh-CN" w:bidi="ar-SA"/>
    </w:rPr>
  </w:style>
  <w:style w:type="character" w:customStyle="1" w:styleId="107">
    <w:name w:val="PI Char1"/>
    <w:qFormat/>
    <w:uiPriority w:val="0"/>
    <w:rPr>
      <w:rFonts w:ascii="仿宋_GB2312" w:hAnsi="Verdana" w:eastAsia="仿宋_GB2312"/>
      <w:kern w:val="2"/>
      <w:sz w:val="28"/>
      <w:szCs w:val="28"/>
      <w:lang w:val="zh-CN" w:eastAsia="zh-CN" w:bidi="ar-SA"/>
    </w:rPr>
  </w:style>
  <w:style w:type="character" w:customStyle="1" w:styleId="108">
    <w:name w:val="普通文字 Char Char6"/>
    <w:qFormat/>
    <w:uiPriority w:val="0"/>
    <w:rPr>
      <w:rFonts w:ascii="宋体" w:hAnsi="Courier New" w:eastAsia="仿宋_GB2312" w:cs="Times New Roman"/>
      <w:kern w:val="0"/>
      <w:sz w:val="28"/>
      <w:szCs w:val="20"/>
    </w:rPr>
  </w:style>
  <w:style w:type="character" w:customStyle="1" w:styleId="109">
    <w:name w:val="正文文本缩进 Char1"/>
    <w:semiHidden/>
    <w:qFormat/>
    <w:uiPriority w:val="0"/>
    <w:rPr>
      <w:rFonts w:ascii="仿宋_GB2312" w:hAnsi="Times New Roman" w:eastAsia="仿宋_GB2312" w:cs="Times New Roman"/>
      <w:kern w:val="0"/>
      <w:sz w:val="28"/>
      <w:szCs w:val="28"/>
      <w:lang w:eastAsia="en-US"/>
    </w:rPr>
  </w:style>
  <w:style w:type="character" w:customStyle="1" w:styleId="110">
    <w:name w:val="ca-9"/>
    <w:basedOn w:val="65"/>
    <w:qFormat/>
    <w:uiPriority w:val="0"/>
  </w:style>
  <w:style w:type="character" w:customStyle="1" w:styleId="111">
    <w:name w:val="标题 2 Char1"/>
    <w:link w:val="4"/>
    <w:qFormat/>
    <w:uiPriority w:val="0"/>
    <w:rPr>
      <w:rFonts w:ascii="Arial" w:hAnsi="Arial" w:eastAsia="黑体"/>
      <w:b/>
      <w:bCs/>
      <w:kern w:val="2"/>
      <w:sz w:val="32"/>
      <w:szCs w:val="32"/>
      <w:lang w:val="en-US" w:eastAsia="zh-CN" w:bidi="ar-SA"/>
    </w:rPr>
  </w:style>
  <w:style w:type="character" w:customStyle="1" w:styleId="112">
    <w:name w:val="PI Char"/>
    <w:qFormat/>
    <w:uiPriority w:val="0"/>
    <w:rPr>
      <w:rFonts w:ascii="仿宋_GB2312" w:hAnsi="Verdana" w:eastAsia="仿宋_GB2312"/>
      <w:kern w:val="2"/>
      <w:sz w:val="28"/>
      <w:szCs w:val="28"/>
      <w:lang w:val="zh-CN" w:eastAsia="zh-CN" w:bidi="ar-SA"/>
    </w:rPr>
  </w:style>
  <w:style w:type="character" w:customStyle="1" w:styleId="113">
    <w:name w:val="标题 4 Char"/>
    <w:link w:val="6"/>
    <w:qFormat/>
    <w:uiPriority w:val="0"/>
    <w:rPr>
      <w:rFonts w:ascii="Cambria" w:hAnsi="Cambria" w:eastAsia="宋体"/>
      <w:b/>
      <w:bCs/>
      <w:kern w:val="2"/>
      <w:sz w:val="28"/>
      <w:szCs w:val="28"/>
      <w:lang w:val="en-US" w:eastAsia="zh-CN" w:bidi="ar-SA"/>
    </w:rPr>
  </w:style>
  <w:style w:type="character" w:customStyle="1" w:styleId="114">
    <w:name w:val="批注文字 Char"/>
    <w:qFormat/>
    <w:uiPriority w:val="0"/>
    <w:rPr>
      <w:rFonts w:ascii="Verdana" w:hAnsi="Verdana" w:eastAsia="宋体"/>
      <w:kern w:val="2"/>
      <w:sz w:val="21"/>
      <w:szCs w:val="24"/>
      <w:lang w:val="en-US" w:eastAsia="zh-CN" w:bidi="ar-SA"/>
    </w:rPr>
  </w:style>
  <w:style w:type="character" w:customStyle="1" w:styleId="115">
    <w:name w:val="apple-converted-space"/>
    <w:basedOn w:val="65"/>
    <w:qFormat/>
    <w:uiPriority w:val="0"/>
  </w:style>
  <w:style w:type="character" w:customStyle="1" w:styleId="116">
    <w:name w:val="H6 Char1"/>
    <w:qFormat/>
    <w:uiPriority w:val="0"/>
    <w:rPr>
      <w:rFonts w:ascii="Arial" w:hAnsi="Arial" w:eastAsia="宋体" w:cs="Times New Roman"/>
      <w:i/>
      <w:kern w:val="0"/>
      <w:sz w:val="22"/>
      <w:szCs w:val="28"/>
      <w:lang w:eastAsia="en-US"/>
    </w:rPr>
  </w:style>
  <w:style w:type="character" w:customStyle="1" w:styleId="117">
    <w:name w:val=" Char Char"/>
    <w:qFormat/>
    <w:uiPriority w:val="0"/>
    <w:rPr>
      <w:rFonts w:ascii="宋体" w:hAnsi="宋体" w:eastAsia="宋体"/>
      <w:kern w:val="0"/>
      <w:sz w:val="24"/>
      <w:szCs w:val="24"/>
      <w:lang w:val="en-US" w:eastAsia="zh-CN" w:bidi="ar-SA"/>
    </w:rPr>
  </w:style>
  <w:style w:type="character" w:customStyle="1" w:styleId="118">
    <w:name w:val="页脚 Char1"/>
    <w:semiHidden/>
    <w:qFormat/>
    <w:uiPriority w:val="0"/>
    <w:rPr>
      <w:rFonts w:ascii="仿宋_GB2312" w:hAnsi="Times New Roman" w:eastAsia="仿宋_GB2312" w:cs="Times New Roman"/>
      <w:kern w:val="0"/>
      <w:sz w:val="18"/>
      <w:szCs w:val="18"/>
      <w:lang w:eastAsia="en-US"/>
    </w:rPr>
  </w:style>
  <w:style w:type="character" w:customStyle="1" w:styleId="119">
    <w:name w:val="g1"/>
    <w:qFormat/>
    <w:uiPriority w:val="0"/>
    <w:rPr>
      <w:rFonts w:ascii="Verdana" w:hAnsi="Verdana" w:eastAsia="仿宋_GB2312"/>
      <w:color w:val="008000"/>
      <w:kern w:val="0"/>
      <w:sz w:val="28"/>
      <w:lang w:eastAsia="en-US"/>
    </w:rPr>
  </w:style>
  <w:style w:type="character" w:customStyle="1" w:styleId="120">
    <w:name w:val="正文文本 Char"/>
    <w:qFormat/>
    <w:uiPriority w:val="0"/>
    <w:rPr>
      <w:rFonts w:ascii="仿宋_GB2312" w:hAnsi="Times New Roman" w:eastAsia="仿宋_GB2312" w:cs="Times New Roman"/>
      <w:kern w:val="0"/>
      <w:sz w:val="28"/>
      <w:szCs w:val="28"/>
      <w:lang w:eastAsia="en-US"/>
    </w:rPr>
  </w:style>
  <w:style w:type="character" w:customStyle="1" w:styleId="121">
    <w:name w:val="EmailStyle191"/>
    <w:semiHidden/>
    <w:qFormat/>
    <w:uiPriority w:val="0"/>
    <w:rPr>
      <w:rFonts w:ascii="Arial" w:hAnsi="Arial" w:eastAsia="宋体" w:cs="Arial"/>
      <w:color w:val="000080"/>
      <w:sz w:val="18"/>
      <w:szCs w:val="20"/>
    </w:rPr>
  </w:style>
  <w:style w:type="character" w:customStyle="1" w:styleId="122">
    <w:name w:val="批注主题 Char"/>
    <w:link w:val="59"/>
    <w:qFormat/>
    <w:uiPriority w:val="0"/>
    <w:rPr>
      <w:rFonts w:ascii="Verdana" w:hAnsi="Verdana" w:eastAsia="宋体"/>
      <w:b/>
      <w:bCs/>
      <w:kern w:val="2"/>
      <w:sz w:val="21"/>
      <w:szCs w:val="24"/>
      <w:lang w:val="en-US" w:eastAsia="zh-CN" w:bidi="ar-SA"/>
    </w:rPr>
  </w:style>
  <w:style w:type="character" w:customStyle="1" w:styleId="123">
    <w:name w:val="纯文本 Char"/>
    <w:link w:val="32"/>
    <w:qFormat/>
    <w:locked/>
    <w:uiPriority w:val="0"/>
    <w:rPr>
      <w:rFonts w:ascii="宋体" w:hAnsi="Courier New" w:eastAsia="宋体"/>
      <w:kern w:val="2"/>
      <w:sz w:val="21"/>
      <w:lang w:val="en-US" w:eastAsia="zh-CN" w:bidi="ar-SA"/>
    </w:rPr>
  </w:style>
  <w:style w:type="character" w:customStyle="1" w:styleId="124">
    <w:name w:val="_Style 123"/>
    <w:qFormat/>
    <w:uiPriority w:val="0"/>
    <w:rPr>
      <w:rFonts w:ascii="Verdana" w:hAnsi="Verdana" w:eastAsia="仿宋_GB2312"/>
      <w:b/>
      <w:bCs/>
      <w:smallCaps/>
      <w:color w:val="C0504D"/>
      <w:spacing w:val="5"/>
      <w:kern w:val="0"/>
      <w:sz w:val="28"/>
      <w:u w:val="single"/>
      <w:lang w:eastAsia="en-US"/>
    </w:rPr>
  </w:style>
  <w:style w:type="character" w:customStyle="1" w:styleId="125">
    <w:name w:val="unnamed11"/>
    <w:qFormat/>
    <w:uiPriority w:val="0"/>
    <w:rPr>
      <w:rFonts w:ascii="Verdana" w:hAnsi="Verdana" w:eastAsia="仿宋_GB2312"/>
      <w:kern w:val="0"/>
      <w:sz w:val="18"/>
      <w:szCs w:val="18"/>
      <w:lang w:eastAsia="en-US"/>
    </w:rPr>
  </w:style>
  <w:style w:type="character" w:customStyle="1" w:styleId="126">
    <w:name w:val="_Style 125"/>
    <w:qFormat/>
    <w:uiPriority w:val="0"/>
    <w:rPr>
      <w:rFonts w:ascii="Verdana" w:hAnsi="Verdana" w:eastAsia="仿宋_GB2312"/>
      <w:smallCaps/>
      <w:color w:val="C0504D"/>
      <w:kern w:val="0"/>
      <w:sz w:val="28"/>
      <w:u w:val="single"/>
      <w:lang w:eastAsia="en-US"/>
    </w:rPr>
  </w:style>
  <w:style w:type="character" w:customStyle="1" w:styleId="127">
    <w:name w:val="正文文本 3 Char"/>
    <w:link w:val="23"/>
    <w:qFormat/>
    <w:uiPriority w:val="0"/>
    <w:rPr>
      <w:rFonts w:ascii="宋体" w:hAnsi="宋体" w:eastAsia="宋体"/>
      <w:b/>
      <w:bCs/>
      <w:kern w:val="2"/>
      <w:sz w:val="24"/>
      <w:szCs w:val="24"/>
      <w:lang w:val="en-US" w:eastAsia="zh-CN" w:bidi="ar-SA"/>
    </w:rPr>
  </w:style>
  <w:style w:type="character" w:customStyle="1" w:styleId="128">
    <w:name w:val="批注框文本 Char"/>
    <w:link w:val="38"/>
    <w:semiHidden/>
    <w:qFormat/>
    <w:uiPriority w:val="0"/>
    <w:rPr>
      <w:rFonts w:ascii="Verdana" w:hAnsi="Verdana" w:eastAsia="宋体"/>
      <w:kern w:val="2"/>
      <w:sz w:val="18"/>
      <w:szCs w:val="18"/>
      <w:lang w:val="en-US" w:eastAsia="zh-CN" w:bidi="ar-SA"/>
    </w:rPr>
  </w:style>
  <w:style w:type="character" w:customStyle="1" w:styleId="129">
    <w:name w:val="正文文本缩进 3 Char"/>
    <w:link w:val="48"/>
    <w:qFormat/>
    <w:uiPriority w:val="0"/>
    <w:rPr>
      <w:rFonts w:ascii="隶书" w:hAnsi="宋体" w:eastAsia="隶书"/>
      <w:kern w:val="2"/>
      <w:sz w:val="21"/>
      <w:szCs w:val="24"/>
      <w:lang w:val="en-US" w:eastAsia="zh-CN" w:bidi="ar-SA"/>
    </w:rPr>
  </w:style>
  <w:style w:type="character" w:customStyle="1" w:styleId="130">
    <w:name w:val="表格 Char Char"/>
    <w:link w:val="131"/>
    <w:qFormat/>
    <w:uiPriority w:val="0"/>
    <w:rPr>
      <w:rFonts w:ascii="宋体" w:hAnsi="宋体" w:eastAsia="仿宋_GB2312"/>
      <w:kern w:val="0"/>
      <w:sz w:val="28"/>
      <w:lang w:eastAsia="en-US" w:bidi="ar-SA"/>
    </w:rPr>
  </w:style>
  <w:style w:type="paragraph" w:customStyle="1" w:styleId="131">
    <w:name w:val="表格"/>
    <w:basedOn w:val="1"/>
    <w:link w:val="130"/>
    <w:qFormat/>
    <w:uiPriority w:val="0"/>
    <w:pPr>
      <w:snapToGrid w:val="0"/>
      <w:ind w:firstLine="42" w:firstLineChars="21"/>
    </w:pPr>
    <w:rPr>
      <w:rFonts w:ascii="宋体" w:hAnsi="宋体" w:eastAsia="Times New Roman"/>
      <w:kern w:val="0"/>
      <w:sz w:val="20"/>
    </w:rPr>
  </w:style>
  <w:style w:type="character" w:customStyle="1" w:styleId="132">
    <w:name w:val="正文文本 2 Char1"/>
    <w:semiHidden/>
    <w:qFormat/>
    <w:uiPriority w:val="0"/>
    <w:rPr>
      <w:rFonts w:ascii="仿宋_GB2312" w:hAnsi="Times New Roman" w:eastAsia="仿宋_GB2312" w:cs="Times New Roman"/>
      <w:kern w:val="0"/>
      <w:sz w:val="28"/>
      <w:szCs w:val="28"/>
      <w:lang w:eastAsia="en-US"/>
    </w:rPr>
  </w:style>
  <w:style w:type="character" w:customStyle="1" w:styleId="133">
    <w:name w:val="Heading 2 Hidden Char1"/>
    <w:qFormat/>
    <w:uiPriority w:val="0"/>
    <w:rPr>
      <w:rFonts w:ascii="Arial" w:hAnsi="Arial" w:eastAsia="黑体"/>
      <w:b/>
      <w:bCs/>
      <w:kern w:val="2"/>
      <w:sz w:val="32"/>
      <w:szCs w:val="32"/>
      <w:lang w:eastAsia="en-US"/>
    </w:rPr>
  </w:style>
  <w:style w:type="character" w:customStyle="1" w:styleId="134">
    <w:name w:val="_Style 133"/>
    <w:qFormat/>
    <w:uiPriority w:val="0"/>
    <w:rPr>
      <w:rFonts w:ascii="Verdana" w:hAnsi="Verdana" w:eastAsia="仿宋_GB2312"/>
      <w:b/>
      <w:bCs/>
      <w:smallCaps/>
      <w:spacing w:val="5"/>
      <w:kern w:val="0"/>
      <w:sz w:val="28"/>
      <w:lang w:eastAsia="en-US"/>
    </w:rPr>
  </w:style>
  <w:style w:type="character" w:customStyle="1" w:styleId="135">
    <w:name w:val="正文文本 2 Char"/>
    <w:link w:val="54"/>
    <w:qFormat/>
    <w:uiPriority w:val="0"/>
    <w:rPr>
      <w:rFonts w:ascii="Verdana" w:hAnsi="Verdana" w:eastAsia="宋体"/>
      <w:kern w:val="2"/>
      <w:sz w:val="24"/>
      <w:szCs w:val="24"/>
      <w:lang w:val="en-US" w:eastAsia="zh-CN" w:bidi="ar-SA"/>
    </w:rPr>
  </w:style>
  <w:style w:type="character" w:customStyle="1" w:styleId="136">
    <w:name w:val="EHPT Char3"/>
    <w:qFormat/>
    <w:uiPriority w:val="0"/>
    <w:rPr>
      <w:rFonts w:ascii="Calibri" w:hAnsi="Calibri" w:eastAsia="宋体"/>
      <w:kern w:val="0"/>
      <w:sz w:val="28"/>
      <w:lang w:eastAsia="en-US"/>
    </w:rPr>
  </w:style>
  <w:style w:type="character" w:customStyle="1" w:styleId="137">
    <w:name w:val="14normal1"/>
    <w:qFormat/>
    <w:uiPriority w:val="0"/>
    <w:rPr>
      <w:rFonts w:hint="default" w:ascii="ˎ̥" w:hAnsi="ˎ̥" w:eastAsia="仿宋_GB2312"/>
      <w:color w:val="000000"/>
      <w:kern w:val="0"/>
      <w:sz w:val="21"/>
      <w:szCs w:val="21"/>
      <w:lang w:eastAsia="en-US"/>
    </w:rPr>
  </w:style>
  <w:style w:type="character" w:customStyle="1" w:styleId="138">
    <w:name w:val="文档结构图 Char1"/>
    <w:semiHidden/>
    <w:qFormat/>
    <w:uiPriority w:val="0"/>
    <w:rPr>
      <w:rFonts w:ascii="宋体" w:hAnsi="Times New Roman" w:eastAsia="宋体" w:cs="Times New Roman"/>
      <w:kern w:val="0"/>
      <w:sz w:val="18"/>
      <w:szCs w:val="18"/>
      <w:lang w:eastAsia="en-US"/>
    </w:rPr>
  </w:style>
  <w:style w:type="character" w:customStyle="1" w:styleId="139">
    <w:name w:val="访问过的超链接1"/>
    <w:qFormat/>
    <w:uiPriority w:val="0"/>
    <w:rPr>
      <w:color w:val="800080"/>
      <w:u w:val="single"/>
    </w:rPr>
  </w:style>
  <w:style w:type="character" w:customStyle="1" w:styleId="140">
    <w:name w:val="bulletintext1"/>
    <w:qFormat/>
    <w:uiPriority w:val="0"/>
    <w:rPr>
      <w:rFonts w:ascii="Verdana" w:hAnsi="Verdana" w:eastAsia="仿宋_GB2312"/>
      <w:color w:val="000000"/>
      <w:kern w:val="0"/>
      <w:sz w:val="18"/>
      <w:szCs w:val="18"/>
      <w:lang w:eastAsia="en-US"/>
    </w:rPr>
  </w:style>
  <w:style w:type="character" w:customStyle="1" w:styleId="141">
    <w:name w:val="EHPT Char1"/>
    <w:qFormat/>
    <w:uiPriority w:val="0"/>
    <w:rPr>
      <w:rFonts w:ascii="Calibri" w:hAnsi="Calibri" w:eastAsia="宋体"/>
      <w:kern w:val="2"/>
      <w:sz w:val="21"/>
      <w:szCs w:val="22"/>
      <w:lang w:val="en-US" w:eastAsia="zh-CN" w:bidi="ar-SA"/>
    </w:rPr>
  </w:style>
  <w:style w:type="character" w:customStyle="1" w:styleId="142">
    <w:name w:val="EHPT Char4"/>
    <w:link w:val="143"/>
    <w:qFormat/>
    <w:uiPriority w:val="0"/>
    <w:rPr>
      <w:rFonts w:eastAsia="黑体"/>
      <w:b/>
      <w:bCs/>
      <w:spacing w:val="20"/>
      <w:kern w:val="52"/>
      <w:sz w:val="56"/>
      <w:szCs w:val="24"/>
      <w:lang w:val="en-US" w:eastAsia="zh-CN" w:bidi="ar-SA"/>
    </w:rPr>
  </w:style>
  <w:style w:type="paragraph" w:customStyle="1" w:styleId="143">
    <w:name w:val="正文文本1"/>
    <w:basedOn w:val="1"/>
    <w:link w:val="142"/>
    <w:qFormat/>
    <w:uiPriority w:val="0"/>
    <w:rPr>
      <w:rFonts w:eastAsia="黑体"/>
      <w:b/>
      <w:bCs/>
      <w:spacing w:val="20"/>
      <w:kern w:val="52"/>
      <w:sz w:val="56"/>
      <w:szCs w:val="24"/>
    </w:rPr>
  </w:style>
  <w:style w:type="character" w:customStyle="1" w:styleId="144">
    <w:name w:val=" Char Char19"/>
    <w:qFormat/>
    <w:uiPriority w:val="0"/>
    <w:rPr>
      <w:rFonts w:ascii="Cambria" w:hAnsi="Cambria" w:eastAsia="宋体" w:cs="Times New Roman"/>
      <w:color w:val="4F81BD"/>
      <w:kern w:val="0"/>
      <w:sz w:val="20"/>
      <w:szCs w:val="20"/>
      <w:lang w:eastAsia="en-US"/>
    </w:rPr>
  </w:style>
  <w:style w:type="character" w:customStyle="1" w:styleId="145">
    <w:name w:val="PI Char3"/>
    <w:qFormat/>
    <w:uiPriority w:val="0"/>
    <w:rPr>
      <w:rFonts w:ascii="仿宋_GB2312" w:eastAsia="仿宋_GB2312"/>
      <w:kern w:val="2"/>
      <w:sz w:val="28"/>
      <w:szCs w:val="28"/>
      <w:lang w:val="zh-CN"/>
    </w:rPr>
  </w:style>
  <w:style w:type="character" w:customStyle="1" w:styleId="146">
    <w:name w:val="标书正文格式 Char"/>
    <w:link w:val="147"/>
    <w:qFormat/>
    <w:uiPriority w:val="0"/>
    <w:rPr>
      <w:rFonts w:ascii="楷体_GB2312" w:hAnsi="Verdana" w:eastAsia="楷体_GB2312"/>
      <w:color w:val="000000"/>
      <w:kern w:val="2"/>
      <w:sz w:val="24"/>
      <w:szCs w:val="24"/>
      <w:lang w:val="en-US" w:eastAsia="zh-CN" w:bidi="ar-SA"/>
    </w:rPr>
  </w:style>
  <w:style w:type="paragraph" w:customStyle="1" w:styleId="147">
    <w:name w:val="标书正文格式"/>
    <w:link w:val="146"/>
    <w:qFormat/>
    <w:uiPriority w:val="0"/>
    <w:pPr>
      <w:spacing w:line="360" w:lineRule="auto"/>
      <w:ind w:firstLine="480" w:firstLineChars="200"/>
    </w:pPr>
    <w:rPr>
      <w:rFonts w:ascii="楷体_GB2312" w:hAnsi="Times New Roman" w:eastAsia="楷体_GB2312" w:cs="Times New Roman"/>
      <w:color w:val="000000"/>
      <w:kern w:val="2"/>
      <w:sz w:val="24"/>
      <w:szCs w:val="24"/>
      <w:lang w:val="en-US" w:eastAsia="zh-CN" w:bidi="ar-SA"/>
    </w:rPr>
  </w:style>
  <w:style w:type="character" w:customStyle="1" w:styleId="148">
    <w:name w:val="标题 3 Char Char"/>
    <w:qFormat/>
    <w:uiPriority w:val="0"/>
    <w:rPr>
      <w:rFonts w:ascii="宋体" w:hAnsi="宋体" w:eastAsia="宋体"/>
      <w:color w:val="666666"/>
      <w:kern w:val="2"/>
      <w:sz w:val="28"/>
      <w:szCs w:val="28"/>
      <w:lang w:val="en-US" w:eastAsia="zh-CN" w:bidi="ar-SA"/>
    </w:rPr>
  </w:style>
  <w:style w:type="character" w:customStyle="1" w:styleId="149">
    <w:name w:val="正文文本 Char1"/>
    <w:semiHidden/>
    <w:qFormat/>
    <w:uiPriority w:val="0"/>
    <w:rPr>
      <w:rFonts w:ascii="仿宋_GB2312" w:hAnsi="Times New Roman" w:eastAsia="仿宋_GB2312" w:cs="Times New Roman"/>
      <w:kern w:val="0"/>
      <w:sz w:val="28"/>
      <w:szCs w:val="28"/>
      <w:lang w:eastAsia="en-US"/>
    </w:rPr>
  </w:style>
  <w:style w:type="character" w:customStyle="1" w:styleId="150">
    <w:name w:val="番茄花园"/>
    <w:qFormat/>
    <w:uiPriority w:val="0"/>
    <w:rPr>
      <w:rFonts w:ascii="Arial" w:hAnsi="Arial" w:eastAsia="宋体" w:cs="Arial"/>
      <w:color w:val="000080"/>
      <w:kern w:val="0"/>
      <w:sz w:val="18"/>
      <w:szCs w:val="20"/>
      <w:lang w:eastAsia="en-US"/>
    </w:rPr>
  </w:style>
  <w:style w:type="character" w:customStyle="1" w:styleId="151">
    <w:name w:val="页眉 Char"/>
    <w:link w:val="40"/>
    <w:qFormat/>
    <w:uiPriority w:val="0"/>
    <w:rPr>
      <w:rFonts w:ascii="Verdana" w:hAnsi="Verdana" w:eastAsia="宋体"/>
      <w:kern w:val="2"/>
      <w:sz w:val="18"/>
      <w:lang w:val="en-US" w:eastAsia="zh-CN" w:bidi="ar-SA"/>
    </w:rPr>
  </w:style>
  <w:style w:type="character" w:customStyle="1" w:styleId="152">
    <w:name w:val="正文首行缩进 Char1"/>
    <w:basedOn w:val="120"/>
    <w:semiHidden/>
    <w:qFormat/>
    <w:uiPriority w:val="0"/>
  </w:style>
  <w:style w:type="character" w:customStyle="1" w:styleId="153">
    <w:name w:val="h1 Char"/>
    <w:qFormat/>
    <w:uiPriority w:val="0"/>
    <w:rPr>
      <w:rFonts w:ascii="Calibri" w:hAnsi="Calibri" w:eastAsia="仿宋_GB2312"/>
      <w:b/>
      <w:bCs/>
      <w:kern w:val="44"/>
      <w:sz w:val="44"/>
      <w:szCs w:val="44"/>
      <w:lang w:eastAsia="en-US"/>
    </w:rPr>
  </w:style>
  <w:style w:type="character" w:customStyle="1" w:styleId="154">
    <w:name w:val="表正文 Char"/>
    <w:qFormat/>
    <w:uiPriority w:val="0"/>
    <w:rPr>
      <w:rFonts w:ascii="仿宋_GB2312" w:eastAsia="仿宋_GB2312"/>
      <w:kern w:val="2"/>
      <w:sz w:val="28"/>
    </w:rPr>
  </w:style>
  <w:style w:type="character" w:customStyle="1" w:styleId="155">
    <w:name w:val="Char Char2"/>
    <w:qFormat/>
    <w:locked/>
    <w:uiPriority w:val="0"/>
    <w:rPr>
      <w:rFonts w:ascii="宋体" w:hAnsi="Courier New" w:eastAsia="宋体"/>
      <w:kern w:val="2"/>
      <w:sz w:val="21"/>
      <w:lang w:val="en-US" w:eastAsia="zh-CN" w:bidi="ar-SA"/>
    </w:rPr>
  </w:style>
  <w:style w:type="character" w:customStyle="1" w:styleId="156">
    <w:name w:val="文字 Char"/>
    <w:link w:val="157"/>
    <w:qFormat/>
    <w:uiPriority w:val="0"/>
    <w:rPr>
      <w:rFonts w:ascii="宋体" w:hAnsi="宋体" w:eastAsia="宋体"/>
      <w:kern w:val="0"/>
      <w:sz w:val="28"/>
      <w:lang w:eastAsia="en-US" w:bidi="ar-SA"/>
    </w:rPr>
  </w:style>
  <w:style w:type="paragraph" w:customStyle="1" w:styleId="157">
    <w:name w:val="文字"/>
    <w:basedOn w:val="1"/>
    <w:link w:val="156"/>
    <w:qFormat/>
    <w:uiPriority w:val="0"/>
    <w:pPr>
      <w:tabs>
        <w:tab w:val="left" w:pos="8520"/>
      </w:tabs>
      <w:spacing w:line="312" w:lineRule="auto"/>
      <w:ind w:right="-210" w:firstLine="556"/>
    </w:pPr>
    <w:rPr>
      <w:rFonts w:ascii="宋体" w:hAnsi="宋体"/>
      <w:kern w:val="0"/>
      <w:sz w:val="28"/>
    </w:rPr>
  </w:style>
  <w:style w:type="character" w:customStyle="1" w:styleId="158">
    <w:name w:val=" Char Char20"/>
    <w:qFormat/>
    <w:uiPriority w:val="0"/>
    <w:rPr>
      <w:rFonts w:ascii="Cambria" w:hAnsi="Cambria" w:eastAsia="宋体" w:cs="Times New Roman"/>
      <w:i/>
      <w:iCs/>
      <w:color w:val="404040"/>
      <w:kern w:val="0"/>
      <w:sz w:val="28"/>
      <w:lang w:eastAsia="en-US"/>
    </w:rPr>
  </w:style>
  <w:style w:type="character" w:customStyle="1" w:styleId="159">
    <w:name w:val="Char Char"/>
    <w:qFormat/>
    <w:uiPriority w:val="0"/>
    <w:rPr>
      <w:rFonts w:hint="eastAsia" w:ascii="宋体" w:hAnsi="宋体" w:eastAsia="宋体"/>
      <w:kern w:val="0"/>
      <w:sz w:val="24"/>
      <w:szCs w:val="24"/>
      <w:lang w:val="en-US" w:eastAsia="zh-CN" w:bidi="ar-SA"/>
    </w:rPr>
  </w:style>
  <w:style w:type="character" w:customStyle="1" w:styleId="160">
    <w:name w:val="正文文本缩进 3 Char1"/>
    <w:semiHidden/>
    <w:qFormat/>
    <w:uiPriority w:val="0"/>
    <w:rPr>
      <w:rFonts w:ascii="仿宋_GB2312" w:hAnsi="Times New Roman" w:eastAsia="仿宋_GB2312" w:cs="Times New Roman"/>
      <w:kern w:val="0"/>
      <w:sz w:val="16"/>
      <w:szCs w:val="16"/>
      <w:lang w:eastAsia="en-US"/>
    </w:rPr>
  </w:style>
  <w:style w:type="character" w:customStyle="1" w:styleId="161">
    <w:name w:val="标题 8 Char"/>
    <w:link w:val="10"/>
    <w:qFormat/>
    <w:uiPriority w:val="0"/>
    <w:rPr>
      <w:rFonts w:ascii="Arial" w:hAnsi="Arial" w:eastAsia="宋体"/>
      <w:i/>
      <w:kern w:val="2"/>
      <w:sz w:val="28"/>
      <w:szCs w:val="28"/>
      <w:lang w:val="en-US" w:eastAsia="zh-CN" w:bidi="ar-SA"/>
    </w:rPr>
  </w:style>
  <w:style w:type="character" w:customStyle="1" w:styleId="162">
    <w:name w:val="Heading 3 - old Char"/>
    <w:qFormat/>
    <w:uiPriority w:val="0"/>
    <w:rPr>
      <w:rFonts w:ascii="Calibri" w:hAnsi="Calibri" w:eastAsia="仿宋_GB2312"/>
      <w:b/>
      <w:bCs/>
      <w:kern w:val="2"/>
      <w:sz w:val="32"/>
      <w:szCs w:val="32"/>
      <w:lang w:eastAsia="en-US"/>
    </w:rPr>
  </w:style>
  <w:style w:type="character" w:customStyle="1" w:styleId="163">
    <w:name w:val="日期 Char"/>
    <w:link w:val="35"/>
    <w:qFormat/>
    <w:uiPriority w:val="0"/>
    <w:rPr>
      <w:rFonts w:ascii="Verdana" w:hAnsi="Verdana" w:eastAsia="宋体"/>
      <w:kern w:val="2"/>
      <w:sz w:val="21"/>
      <w:lang w:val="en-US" w:eastAsia="zh-CN" w:bidi="ar-SA"/>
    </w:rPr>
  </w:style>
  <w:style w:type="character" w:customStyle="1" w:styleId="164">
    <w:name w:val="文档结构图 Char"/>
    <w:link w:val="20"/>
    <w:qFormat/>
    <w:uiPriority w:val="0"/>
    <w:rPr>
      <w:rFonts w:ascii="Verdana" w:hAnsi="Verdana" w:eastAsia="宋体"/>
      <w:kern w:val="0"/>
      <w:sz w:val="28"/>
      <w:szCs w:val="24"/>
      <w:shd w:val="clear" w:color="auto" w:fill="000080"/>
      <w:lang w:eastAsia="en-US" w:bidi="ar-SA"/>
    </w:rPr>
  </w:style>
  <w:style w:type="character" w:customStyle="1" w:styleId="165">
    <w:name w:val="明显引用 Char"/>
    <w:link w:val="166"/>
    <w:qFormat/>
    <w:uiPriority w:val="0"/>
    <w:rPr>
      <w:rFonts w:ascii="Calibri" w:hAnsi="Calibri" w:eastAsia="宋体"/>
      <w:b/>
      <w:bCs/>
      <w:i/>
      <w:iCs/>
      <w:color w:val="4F81BD"/>
      <w:kern w:val="0"/>
      <w:sz w:val="22"/>
      <w:szCs w:val="22"/>
      <w:lang w:val="en-US" w:eastAsia="en-US" w:bidi="en-US"/>
    </w:rPr>
  </w:style>
  <w:style w:type="paragraph" w:styleId="166">
    <w:name w:val="Intense Quote"/>
    <w:basedOn w:val="1"/>
    <w:next w:val="1"/>
    <w:link w:val="165"/>
    <w:qFormat/>
    <w:uiPriority w:val="0"/>
    <w:pPr>
      <w:widowControl/>
      <w:pBdr>
        <w:bottom w:val="single" w:color="4F81BD" w:sz="4" w:space="4"/>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167">
    <w:name w:val="www序号1) Char"/>
    <w:link w:val="168"/>
    <w:qFormat/>
    <w:uiPriority w:val="0"/>
    <w:rPr>
      <w:rFonts w:ascii="Verdana" w:hAnsi="Verdana" w:eastAsia="宋体"/>
      <w:kern w:val="0"/>
      <w:sz w:val="24"/>
      <w:szCs w:val="24"/>
      <w:lang w:eastAsia="en-US" w:bidi="ar-SA"/>
    </w:rPr>
  </w:style>
  <w:style w:type="paragraph" w:customStyle="1" w:styleId="168">
    <w:name w:val="www序号1)"/>
    <w:basedOn w:val="1"/>
    <w:link w:val="167"/>
    <w:qFormat/>
    <w:uiPriority w:val="0"/>
    <w:pPr>
      <w:tabs>
        <w:tab w:val="left" w:pos="2160"/>
      </w:tabs>
      <w:ind w:left="2160" w:hanging="420"/>
    </w:pPr>
    <w:rPr>
      <w:kern w:val="0"/>
      <w:sz w:val="24"/>
      <w:szCs w:val="24"/>
    </w:rPr>
  </w:style>
  <w:style w:type="character" w:customStyle="1" w:styleId="169">
    <w:name w:val="large1"/>
    <w:qFormat/>
    <w:uiPriority w:val="0"/>
    <w:rPr>
      <w:rFonts w:hint="eastAsia" w:ascii="宋体" w:hAnsi="宋体" w:eastAsia="宋体"/>
      <w:kern w:val="0"/>
      <w:sz w:val="21"/>
      <w:szCs w:val="21"/>
      <w:lang w:eastAsia="en-US"/>
    </w:rPr>
  </w:style>
  <w:style w:type="character" w:customStyle="1" w:styleId="170">
    <w:name w:val="正文文本 3 Char1"/>
    <w:semiHidden/>
    <w:qFormat/>
    <w:uiPriority w:val="0"/>
    <w:rPr>
      <w:rFonts w:ascii="仿宋_GB2312" w:hAnsi="Times New Roman" w:eastAsia="仿宋_GB2312" w:cs="Times New Roman"/>
      <w:kern w:val="0"/>
      <w:sz w:val="16"/>
      <w:szCs w:val="16"/>
      <w:lang w:eastAsia="en-US"/>
    </w:rPr>
  </w:style>
  <w:style w:type="character" w:customStyle="1" w:styleId="171">
    <w:name w:val="text9"/>
    <w:basedOn w:val="65"/>
    <w:qFormat/>
    <w:uiPriority w:val="0"/>
  </w:style>
  <w:style w:type="character" w:customStyle="1" w:styleId="172">
    <w:name w:val="引用 Char"/>
    <w:link w:val="173"/>
    <w:qFormat/>
    <w:uiPriority w:val="0"/>
    <w:rPr>
      <w:rFonts w:ascii="Calibri" w:hAnsi="Calibri" w:eastAsia="宋体"/>
      <w:i/>
      <w:iCs/>
      <w:color w:val="000000"/>
      <w:kern w:val="0"/>
      <w:sz w:val="22"/>
      <w:szCs w:val="22"/>
      <w:lang w:val="en-US" w:eastAsia="en-US" w:bidi="en-US"/>
    </w:rPr>
  </w:style>
  <w:style w:type="paragraph" w:styleId="173">
    <w:name w:val="Quote"/>
    <w:basedOn w:val="1"/>
    <w:next w:val="1"/>
    <w:link w:val="172"/>
    <w:qFormat/>
    <w:uiPriority w:val="0"/>
    <w:pPr>
      <w:widowControl/>
      <w:spacing w:after="480" w:line="276" w:lineRule="auto"/>
      <w:jc w:val="left"/>
    </w:pPr>
    <w:rPr>
      <w:rFonts w:ascii="Calibri" w:hAnsi="Calibri"/>
      <w:i/>
      <w:iCs/>
      <w:color w:val="000000"/>
      <w:kern w:val="0"/>
      <w:sz w:val="22"/>
      <w:szCs w:val="22"/>
      <w:lang w:eastAsia="en-US" w:bidi="en-US"/>
    </w:rPr>
  </w:style>
  <w:style w:type="character" w:customStyle="1" w:styleId="174">
    <w:name w:val="font11"/>
    <w:qFormat/>
    <w:uiPriority w:val="0"/>
    <w:rPr>
      <w:rFonts w:hint="eastAsia" w:ascii="楷体_GB2312" w:hAnsi="Verdana" w:eastAsia="楷体_GB2312"/>
      <w:color w:val="000000"/>
      <w:kern w:val="0"/>
      <w:sz w:val="21"/>
      <w:szCs w:val="21"/>
      <w:u w:val="none"/>
      <w:lang w:eastAsia="en-US"/>
    </w:rPr>
  </w:style>
  <w:style w:type="character" w:customStyle="1" w:styleId="175">
    <w:name w:val="Char Char4"/>
    <w:qFormat/>
    <w:uiPriority w:val="0"/>
    <w:rPr>
      <w:rFonts w:ascii="仿宋_GB2312" w:hAnsi="Verdana" w:eastAsia="仿宋_GB2312"/>
      <w:kern w:val="2"/>
      <w:sz w:val="28"/>
      <w:szCs w:val="28"/>
      <w:lang w:val="zh-CN" w:eastAsia="zh-CN" w:bidi="ar-SA"/>
    </w:rPr>
  </w:style>
  <w:style w:type="character" w:customStyle="1" w:styleId="176">
    <w:name w:val="批注文字 Char1"/>
    <w:link w:val="21"/>
    <w:qFormat/>
    <w:uiPriority w:val="0"/>
    <w:rPr>
      <w:rFonts w:ascii="仿宋_GB2312" w:hAnsi="Verdana" w:eastAsia="仿宋_GB2312"/>
      <w:kern w:val="2"/>
      <w:sz w:val="28"/>
      <w:szCs w:val="28"/>
      <w:lang w:val="en-US" w:eastAsia="zh-CN" w:bidi="ar-SA"/>
    </w:rPr>
  </w:style>
  <w:style w:type="character" w:customStyle="1" w:styleId="177">
    <w:name w:val=" Char Char25"/>
    <w:qFormat/>
    <w:uiPriority w:val="0"/>
    <w:rPr>
      <w:rFonts w:eastAsia="黑体"/>
      <w:b/>
      <w:bCs/>
      <w:spacing w:val="20"/>
      <w:kern w:val="52"/>
      <w:sz w:val="56"/>
      <w:szCs w:val="24"/>
      <w:lang w:val="en-US" w:eastAsia="zh-CN" w:bidi="ar-SA"/>
    </w:rPr>
  </w:style>
  <w:style w:type="character" w:customStyle="1" w:styleId="178">
    <w:name w:val="标题 7 Char"/>
    <w:link w:val="9"/>
    <w:qFormat/>
    <w:uiPriority w:val="0"/>
    <w:rPr>
      <w:rFonts w:ascii="Arial" w:hAnsi="Arial" w:eastAsia="宋体"/>
      <w:kern w:val="2"/>
      <w:sz w:val="28"/>
      <w:szCs w:val="28"/>
      <w:lang w:val="en-US" w:eastAsia="zh-CN" w:bidi="ar-SA"/>
    </w:rPr>
  </w:style>
  <w:style w:type="character" w:customStyle="1" w:styleId="179">
    <w:name w:val="bullet Char"/>
    <w:qFormat/>
    <w:uiPriority w:val="0"/>
    <w:rPr>
      <w:rFonts w:ascii="Verdana" w:hAnsi="Verdana" w:eastAsia="仿宋_GB2312"/>
      <w:b/>
      <w:i/>
      <w:kern w:val="0"/>
      <w:sz w:val="24"/>
      <w:lang w:eastAsia="en-US"/>
    </w:rPr>
  </w:style>
  <w:style w:type="character" w:customStyle="1" w:styleId="180">
    <w:name w:val=" Char Char18"/>
    <w:qFormat/>
    <w:uiPriority w:val="0"/>
    <w:rPr>
      <w:rFonts w:ascii="Cambria" w:hAnsi="Cambria" w:eastAsia="宋体" w:cs="Times New Roman"/>
      <w:i/>
      <w:iCs/>
      <w:color w:val="404040"/>
      <w:kern w:val="0"/>
      <w:sz w:val="20"/>
      <w:szCs w:val="20"/>
      <w:lang w:eastAsia="en-US"/>
    </w:rPr>
  </w:style>
  <w:style w:type="character" w:customStyle="1" w:styleId="181">
    <w:name w:val="Body Char"/>
    <w:link w:val="182"/>
    <w:qFormat/>
    <w:uiPriority w:val="0"/>
    <w:rPr>
      <w:rFonts w:ascii="Univers" w:hAnsi="Univers" w:eastAsia="仿宋_GB2312"/>
      <w:color w:val="000000"/>
      <w:kern w:val="0"/>
      <w:sz w:val="22"/>
      <w:lang w:val="en-US" w:eastAsia="en-US" w:bidi="ar-SA"/>
    </w:rPr>
  </w:style>
  <w:style w:type="paragraph" w:customStyle="1" w:styleId="182">
    <w:name w:val="Body"/>
    <w:link w:val="181"/>
    <w:qFormat/>
    <w:uiPriority w:val="0"/>
    <w:pPr>
      <w:spacing w:before="130" w:after="130" w:line="260" w:lineRule="exact"/>
    </w:pPr>
    <w:rPr>
      <w:rFonts w:ascii="Univers" w:hAnsi="Univers" w:eastAsia="宋体" w:cs="Times New Roman"/>
      <w:color w:val="000000"/>
      <w:sz w:val="22"/>
      <w:lang w:val="en-US" w:eastAsia="en-US" w:bidi="ar-SA"/>
    </w:rPr>
  </w:style>
  <w:style w:type="character" w:customStyle="1" w:styleId="183">
    <w:name w:val="标题 Char1"/>
    <w:qFormat/>
    <w:uiPriority w:val="0"/>
    <w:rPr>
      <w:rFonts w:ascii="Cambria" w:hAnsi="Cambria" w:eastAsia="宋体" w:cs="Times New Roman"/>
      <w:b/>
      <w:bCs/>
      <w:kern w:val="0"/>
      <w:sz w:val="32"/>
      <w:szCs w:val="32"/>
      <w:lang w:eastAsia="en-US"/>
    </w:rPr>
  </w:style>
  <w:style w:type="character" w:customStyle="1" w:styleId="184">
    <w:name w:val=" Char Char14"/>
    <w:qFormat/>
    <w:uiPriority w:val="0"/>
    <w:rPr>
      <w:rFonts w:ascii="宋体" w:hAnsi="Courier New" w:eastAsia="宋体"/>
      <w:kern w:val="0"/>
      <w:sz w:val="21"/>
      <w:lang w:val="en-US" w:eastAsia="zh-CN" w:bidi="ar-SA"/>
    </w:rPr>
  </w:style>
  <w:style w:type="character" w:customStyle="1" w:styleId="185">
    <w:name w:val="尾注文本 Char"/>
    <w:link w:val="37"/>
    <w:qFormat/>
    <w:uiPriority w:val="0"/>
    <w:rPr>
      <w:rFonts w:ascii="仿宋_GB2312" w:hAnsi="Verdana" w:eastAsia="仿宋_GB2312"/>
      <w:kern w:val="2"/>
      <w:sz w:val="28"/>
      <w:szCs w:val="28"/>
      <w:lang w:val="en-US" w:eastAsia="zh-CN" w:bidi="ar-SA"/>
    </w:rPr>
  </w:style>
  <w:style w:type="character" w:customStyle="1" w:styleId="186">
    <w:name w:val="标题 5 Char"/>
    <w:link w:val="7"/>
    <w:qFormat/>
    <w:uiPriority w:val="0"/>
    <w:rPr>
      <w:rFonts w:ascii="Arial" w:hAnsi="Arial" w:eastAsia="宋体"/>
      <w:kern w:val="2"/>
      <w:sz w:val="22"/>
      <w:szCs w:val="28"/>
      <w:lang w:val="en-US" w:eastAsia="zh-CN" w:bidi="ar-SA"/>
    </w:rPr>
  </w:style>
  <w:style w:type="character" w:customStyle="1" w:styleId="187">
    <w:name w:val="ca-10"/>
    <w:basedOn w:val="65"/>
    <w:qFormat/>
    <w:uiPriority w:val="0"/>
  </w:style>
  <w:style w:type="paragraph" w:customStyle="1" w:styleId="188">
    <w:name w:val="Head2"/>
    <w:qFormat/>
    <w:uiPriority w:val="0"/>
    <w:pPr>
      <w:numPr>
        <w:ilvl w:val="2"/>
        <w:numId w:val="1"/>
      </w:numPr>
      <w:tabs>
        <w:tab w:val="left" w:pos="576"/>
      </w:tabs>
      <w:spacing w:before="28" w:after="28"/>
      <w:outlineLvl w:val="2"/>
    </w:pPr>
    <w:rPr>
      <w:rFonts w:ascii="Arial" w:hAnsi="Arial" w:eastAsia="宋体" w:cs="Times New Roman"/>
      <w:b/>
      <w:lang w:val="en-US" w:eastAsia="en-US" w:bidi="ar-SA"/>
    </w:rPr>
  </w:style>
  <w:style w:type="paragraph" w:customStyle="1" w:styleId="189">
    <w:name w:val="RFI Heading 4th Level"/>
    <w:basedOn w:val="190"/>
    <w:qFormat/>
    <w:uiPriority w:val="0"/>
    <w:pPr>
      <w:tabs>
        <w:tab w:val="left" w:pos="720"/>
        <w:tab w:val="left" w:pos="1152"/>
      </w:tabs>
      <w:spacing w:before="240" w:after="160"/>
      <w:ind w:left="1152" w:hanging="1152"/>
      <w:jc w:val="both"/>
      <w:outlineLvl w:val="2"/>
    </w:pPr>
    <w:rPr>
      <w:rFonts w:eastAsia="Times New Roman"/>
      <w:bCs/>
      <w:color w:val="auto"/>
    </w:rPr>
  </w:style>
  <w:style w:type="paragraph" w:customStyle="1" w:styleId="190">
    <w:name w:val="RFI Heading 3rd Level"/>
    <w:basedOn w:val="1"/>
    <w:qFormat/>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191">
    <w:name w:val="方案正文-样式 小四 行距: 1.5 倍行距"/>
    <w:basedOn w:val="1"/>
    <w:qFormat/>
    <w:uiPriority w:val="0"/>
    <w:pPr>
      <w:spacing w:line="360" w:lineRule="auto"/>
      <w:ind w:firstLine="480" w:firstLineChars="200"/>
    </w:pPr>
    <w:rPr>
      <w:rFonts w:ascii="仿宋_GB2312" w:eastAsia="仿宋_GB2312"/>
      <w:sz w:val="24"/>
      <w:szCs w:val="28"/>
    </w:rPr>
  </w:style>
  <w:style w:type="paragraph" w:customStyle="1" w:styleId="192">
    <w:name w:val="RFI Heading 2nd Level Char"/>
    <w:basedOn w:val="1"/>
    <w:qFormat/>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szCs w:val="28"/>
      <w:lang w:val="en-GB" w:eastAsia="en-US"/>
    </w:rPr>
  </w:style>
  <w:style w:type="paragraph" w:customStyle="1" w:styleId="193">
    <w:name w:val="图"/>
    <w:basedOn w:val="1"/>
    <w:qFormat/>
    <w:uiPriority w:val="0"/>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194">
    <w:name w:val="xl48"/>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8"/>
    </w:rPr>
  </w:style>
  <w:style w:type="paragraph" w:customStyle="1" w:styleId="195">
    <w:name w:val="Style Heading 3 + 11 pt Line spacing:  1.5 lines"/>
    <w:basedOn w:val="5"/>
    <w:qFormat/>
    <w:uiPriority w:val="0"/>
    <w:pPr>
      <w:keepLines w:val="0"/>
      <w:widowControl/>
      <w:tabs>
        <w:tab w:val="left" w:pos="1260"/>
      </w:tabs>
      <w:spacing w:before="0" w:after="0" w:line="360" w:lineRule="auto"/>
      <w:ind w:left="236" w:leftChars="236"/>
    </w:pPr>
    <w:rPr>
      <w:rFonts w:ascii="仿宋_GB2312" w:eastAsia="黑体"/>
      <w:b w:val="0"/>
      <w:sz w:val="28"/>
      <w:szCs w:val="28"/>
    </w:rPr>
  </w:style>
  <w:style w:type="paragraph" w:customStyle="1" w:styleId="196">
    <w:name w:val="tabletextchar"/>
    <w:basedOn w:val="1"/>
    <w:qFormat/>
    <w:uiPriority w:val="0"/>
    <w:pPr>
      <w:widowControl/>
      <w:spacing w:before="100" w:beforeAutospacing="1" w:after="100" w:afterAutospacing="1" w:line="240" w:lineRule="atLeast"/>
      <w:jc w:val="left"/>
    </w:pPr>
    <w:rPr>
      <w:rFonts w:ascii="宋体" w:hAnsi="宋体" w:eastAsia="仿宋_GB2312" w:cs="宋体"/>
      <w:kern w:val="0"/>
      <w:sz w:val="18"/>
      <w:szCs w:val="18"/>
    </w:rPr>
  </w:style>
  <w:style w:type="paragraph" w:customStyle="1" w:styleId="197">
    <w:name w:val="xl26"/>
    <w:basedOn w:val="1"/>
    <w:qFormat/>
    <w:uiPriority w:val="0"/>
    <w:pPr>
      <w:widowControl/>
      <w:spacing w:before="100" w:beforeAutospacing="1" w:after="100" w:afterAutospacing="1"/>
      <w:jc w:val="center"/>
    </w:pPr>
    <w:rPr>
      <w:rFonts w:hint="eastAsia" w:ascii="仿宋_GB2312" w:hAnsi="宋体" w:eastAsia="仿宋_GB2312"/>
      <w:kern w:val="0"/>
      <w:sz w:val="24"/>
      <w:szCs w:val="28"/>
    </w:rPr>
  </w:style>
  <w:style w:type="paragraph" w:customStyle="1" w:styleId="198">
    <w:name w:val="正文（缩进）"/>
    <w:basedOn w:val="1"/>
    <w:qFormat/>
    <w:uiPriority w:val="0"/>
    <w:pPr>
      <w:spacing w:before="156" w:beforeLines="50" w:after="156" w:afterLines="50" w:line="360" w:lineRule="auto"/>
      <w:ind w:firstLine="480" w:firstLineChars="200"/>
    </w:pPr>
    <w:rPr>
      <w:rFonts w:ascii="仿宋_GB2312" w:eastAsia="仿宋_GB2312"/>
      <w:sz w:val="24"/>
      <w:szCs w:val="28"/>
    </w:rPr>
  </w:style>
  <w:style w:type="paragraph" w:customStyle="1" w:styleId="199">
    <w:name w:val="Char Char Char Char Char Char Char Char1 Char"/>
    <w:basedOn w:val="1"/>
    <w:qFormat/>
    <w:uiPriority w:val="0"/>
    <w:rPr>
      <w:rFonts w:ascii="仿宋_GB2312" w:eastAsia="仿宋_GB2312"/>
      <w:sz w:val="28"/>
    </w:rPr>
  </w:style>
  <w:style w:type="paragraph" w:customStyle="1" w:styleId="200">
    <w:name w:val="Table Text"/>
    <w:basedOn w:val="1"/>
    <w:qFormat/>
    <w:uiPriority w:val="0"/>
    <w:pPr>
      <w:widowControl/>
      <w:spacing w:before="60" w:after="60"/>
      <w:jc w:val="left"/>
    </w:pPr>
    <w:rPr>
      <w:kern w:val="0"/>
      <w:szCs w:val="24"/>
    </w:rPr>
  </w:style>
  <w:style w:type="paragraph" w:customStyle="1" w:styleId="201">
    <w:name w:val="样式1"/>
    <w:basedOn w:val="4"/>
    <w:qFormat/>
    <w:uiPriority w:val="0"/>
    <w:pPr>
      <w:spacing w:line="415" w:lineRule="auto"/>
      <w:jc w:val="center"/>
    </w:pPr>
    <w:rPr>
      <w:rFonts w:ascii="宋体" w:hAnsi="宋体"/>
      <w:sz w:val="36"/>
      <w:szCs w:val="36"/>
    </w:rPr>
  </w:style>
  <w:style w:type="paragraph" w:customStyle="1" w:styleId="202">
    <w:name w:val="标题 3.5"/>
    <w:basedOn w:val="5"/>
    <w:qFormat/>
    <w:uiPriority w:val="0"/>
    <w:pPr>
      <w:keepNext w:val="0"/>
      <w:keepLines w:val="0"/>
      <w:spacing w:before="0" w:after="0" w:line="600" w:lineRule="exact"/>
      <w:outlineLvl w:val="9"/>
    </w:pPr>
    <w:rPr>
      <w:rFonts w:ascii="仿宋_GB2312" w:eastAsia="仿宋_GB2312"/>
      <w:b w:val="0"/>
      <w:bCs w:val="0"/>
      <w:sz w:val="31"/>
      <w:szCs w:val="24"/>
    </w:rPr>
  </w:style>
  <w:style w:type="paragraph" w:customStyle="1" w:styleId="203">
    <w:name w:val="1.1 Header2"/>
    <w:basedOn w:val="1"/>
    <w:qFormat/>
    <w:uiPriority w:val="0"/>
    <w:pPr>
      <w:widowControl/>
      <w:jc w:val="left"/>
    </w:pPr>
    <w:rPr>
      <w:rFonts w:ascii="宋体" w:hAnsi="宋体" w:eastAsia="仿宋_GB2312"/>
      <w:color w:val="000000"/>
      <w:kern w:val="0"/>
      <w:sz w:val="24"/>
      <w:szCs w:val="21"/>
    </w:rPr>
  </w:style>
  <w:style w:type="paragraph" w:customStyle="1" w:styleId="204">
    <w:name w:val="No Spacing1"/>
    <w:qFormat/>
    <w:uiPriority w:val="0"/>
    <w:rPr>
      <w:rFonts w:ascii="Times New Roman" w:hAnsi="Times New Roman" w:eastAsia="??" w:cs="宋体"/>
      <w:sz w:val="22"/>
      <w:szCs w:val="22"/>
      <w:lang w:val="en-US" w:eastAsia="en-US" w:bidi="ar-SA"/>
    </w:rPr>
  </w:style>
  <w:style w:type="paragraph" w:customStyle="1" w:styleId="205">
    <w:name w:val="reader-word-layer reader-word-s1-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6">
    <w:name w:val="RFI abc 1st Level"/>
    <w:basedOn w:val="1"/>
    <w:qFormat/>
    <w:uiPriority w:val="0"/>
    <w:pPr>
      <w:widowControl/>
      <w:numPr>
        <w:ilvl w:val="0"/>
        <w:numId w:val="4"/>
      </w:numPr>
      <w:tabs>
        <w:tab w:val="left" w:pos="1440"/>
        <w:tab w:val="clear" w:pos="360"/>
      </w:tabs>
      <w:ind w:left="1440"/>
    </w:pPr>
    <w:rPr>
      <w:rFonts w:ascii="Arial (W1)" w:hAnsi="Arial (W1)" w:eastAsia="仿宋_GB2312"/>
      <w:kern w:val="0"/>
      <w:sz w:val="24"/>
      <w:szCs w:val="28"/>
      <w:lang w:val="en-GB" w:eastAsia="en-US"/>
    </w:rPr>
  </w:style>
  <w:style w:type="paragraph" w:customStyle="1" w:styleId="207">
    <w:name w:val="项目"/>
    <w:basedOn w:val="2"/>
    <w:next w:val="2"/>
    <w:qFormat/>
    <w:uiPriority w:val="0"/>
    <w:pPr>
      <w:numPr>
        <w:ilvl w:val="0"/>
        <w:numId w:val="5"/>
      </w:numPr>
      <w:tabs>
        <w:tab w:val="left" w:pos="420"/>
        <w:tab w:val="clear" w:pos="720"/>
      </w:tabs>
      <w:spacing w:line="360" w:lineRule="auto"/>
      <w:ind w:left="420"/>
    </w:pPr>
    <w:rPr>
      <w:rFonts w:eastAsia="宋体"/>
      <w:b w:val="0"/>
      <w:bCs w:val="0"/>
      <w:spacing w:val="0"/>
      <w:kern w:val="0"/>
      <w:sz w:val="24"/>
      <w:szCs w:val="20"/>
    </w:rPr>
  </w:style>
  <w:style w:type="paragraph" w:customStyle="1" w:styleId="208">
    <w:name w:val="标题四正文"/>
    <w:basedOn w:val="1"/>
    <w:qFormat/>
    <w:uiPriority w:val="0"/>
    <w:pPr>
      <w:snapToGrid w:val="0"/>
      <w:spacing w:line="360" w:lineRule="auto"/>
      <w:ind w:firstLine="480" w:firstLineChars="200"/>
      <w:jc w:val="left"/>
    </w:pPr>
    <w:rPr>
      <w:rFonts w:ascii="宋体" w:hAnsi="宋体"/>
      <w:kern w:val="0"/>
      <w:sz w:val="24"/>
      <w:szCs w:val="24"/>
    </w:rPr>
  </w:style>
  <w:style w:type="paragraph" w:customStyle="1" w:styleId="209">
    <w:name w:val="Default Text"/>
    <w:basedOn w:val="1"/>
    <w:qFormat/>
    <w:uiPriority w:val="0"/>
    <w:pPr>
      <w:widowControl/>
      <w:jc w:val="left"/>
    </w:pPr>
    <w:rPr>
      <w:rFonts w:ascii="Tahoma" w:hAnsi="Tahoma" w:eastAsia="仿宋_GB2312" w:cs="Tahoma"/>
      <w:kern w:val="0"/>
      <w:sz w:val="24"/>
      <w:szCs w:val="28"/>
      <w:lang w:eastAsia="en-US"/>
    </w:rPr>
  </w:style>
  <w:style w:type="paragraph" w:customStyle="1" w:styleId="210">
    <w:name w:val="RFI List 2"/>
    <w:basedOn w:val="211"/>
    <w:qFormat/>
    <w:uiPriority w:val="0"/>
    <w:pPr>
      <w:numPr>
        <w:ilvl w:val="0"/>
        <w:numId w:val="6"/>
      </w:numPr>
      <w:tabs>
        <w:tab w:val="left" w:pos="360"/>
        <w:tab w:val="left" w:pos="1800"/>
      </w:tabs>
      <w:ind w:left="720" w:hanging="720"/>
    </w:pPr>
    <w:rPr>
      <w:rFonts w:eastAsia="Times New Roman"/>
      <w:b w:val="0"/>
      <w:bCs/>
    </w:rPr>
  </w:style>
  <w:style w:type="paragraph" w:customStyle="1" w:styleId="211">
    <w:name w:val="RFI List 1"/>
    <w:basedOn w:val="190"/>
    <w:qFormat/>
    <w:uiPriority w:val="0"/>
    <w:pPr>
      <w:tabs>
        <w:tab w:val="left" w:pos="360"/>
        <w:tab w:val="left" w:pos="1800"/>
        <w:tab w:val="clear" w:pos="720"/>
      </w:tabs>
      <w:spacing w:before="240" w:after="160"/>
      <w:ind w:left="720" w:hanging="720"/>
      <w:outlineLvl w:val="0"/>
    </w:pPr>
    <w:rPr>
      <w:b/>
      <w:color w:val="auto"/>
    </w:rPr>
  </w:style>
  <w:style w:type="paragraph" w:customStyle="1" w:styleId="212">
    <w:name w:val="RFI Heading 2nd Level"/>
    <w:basedOn w:val="1"/>
    <w:qFormat/>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213">
    <w:name w:val="正文缩进6格"/>
    <w:basedOn w:val="214"/>
    <w:qFormat/>
    <w:uiPriority w:val="0"/>
    <w:pPr>
      <w:ind w:left="1758" w:leftChars="854"/>
    </w:pPr>
  </w:style>
  <w:style w:type="paragraph" w:customStyle="1" w:styleId="214">
    <w:name w:val="正文缩进4格"/>
    <w:basedOn w:val="215"/>
    <w:qFormat/>
    <w:uiPriority w:val="0"/>
    <w:pPr>
      <w:ind w:left="651" w:leftChars="310" w:firstLine="608" w:firstLineChars="196"/>
    </w:pPr>
    <w:rPr>
      <w:color w:val="000000"/>
    </w:rPr>
  </w:style>
  <w:style w:type="paragraph" w:customStyle="1" w:styleId="21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16">
    <w:name w:val="正文文本缩进1"/>
    <w:basedOn w:val="1"/>
    <w:qFormat/>
    <w:uiPriority w:val="99"/>
    <w:pPr>
      <w:spacing w:line="360" w:lineRule="auto"/>
      <w:ind w:firstLine="435"/>
    </w:pPr>
    <w:rPr>
      <w:sz w:val="28"/>
      <w:szCs w:val="24"/>
    </w:rPr>
  </w:style>
  <w:style w:type="paragraph" w:customStyle="1" w:styleId="217">
    <w:name w:val="样式 样式1 + 加粗 行距: 固定值 20 磅"/>
    <w:basedOn w:val="201"/>
    <w:qFormat/>
    <w:uiPriority w:val="0"/>
    <w:pPr>
      <w:keepNext w:val="0"/>
      <w:keepLines w:val="0"/>
      <w:adjustRightInd w:val="0"/>
      <w:spacing w:before="0" w:after="0" w:line="400" w:lineRule="exact"/>
      <w:jc w:val="both"/>
      <w:textAlignment w:val="baseline"/>
    </w:pPr>
    <w:rPr>
      <w:rFonts w:eastAsia="宋体"/>
      <w:kern w:val="0"/>
      <w:sz w:val="21"/>
      <w:szCs w:val="20"/>
    </w:rPr>
  </w:style>
  <w:style w:type="paragraph" w:customStyle="1" w:styleId="218">
    <w:name w:val="水印"/>
    <w:basedOn w:val="1"/>
    <w:qFormat/>
    <w:uiPriority w:val="0"/>
    <w:pPr>
      <w:adjustRightInd w:val="0"/>
      <w:spacing w:line="240" w:lineRule="atLeast"/>
      <w:textAlignment w:val="baseline"/>
    </w:pPr>
    <w:rPr>
      <w:rFonts w:ascii="仿宋_GB2312" w:eastAsia="仿宋_GB2312"/>
      <w:kern w:val="0"/>
      <w:sz w:val="28"/>
    </w:rPr>
  </w:style>
  <w:style w:type="paragraph" w:customStyle="1" w:styleId="219">
    <w:name w:val="Char2"/>
    <w:basedOn w:val="1"/>
    <w:qFormat/>
    <w:uiPriority w:val="0"/>
    <w:rPr>
      <w:rFonts w:ascii="仿宋_GB2312" w:eastAsia="仿宋_GB2312"/>
      <w:b/>
      <w:sz w:val="32"/>
      <w:szCs w:val="32"/>
    </w:rPr>
  </w:style>
  <w:style w:type="paragraph" w:customStyle="1" w:styleId="220">
    <w:name w:val="BodyText"/>
    <w:basedOn w:val="1"/>
    <w:qFormat/>
    <w:uiPriority w:val="0"/>
    <w:pPr>
      <w:widowControl/>
      <w:spacing w:after="120"/>
      <w:jc w:val="left"/>
    </w:pPr>
    <w:rPr>
      <w:rFonts w:ascii="FuturaA Bk BT" w:hAnsi="FuturaA Bk BT" w:eastAsia="仿宋_GB2312"/>
      <w:kern w:val="0"/>
      <w:sz w:val="20"/>
    </w:rPr>
  </w:style>
  <w:style w:type="paragraph" w:customStyle="1" w:styleId="221">
    <w:name w:val="Level 6: (i)"/>
    <w:basedOn w:val="1"/>
    <w:qFormat/>
    <w:uiPriority w:val="0"/>
    <w:pPr>
      <w:widowControl/>
      <w:numPr>
        <w:ilvl w:val="8"/>
        <w:numId w:val="1"/>
      </w:numPr>
      <w:tabs>
        <w:tab w:val="left" w:pos="2160"/>
      </w:tabs>
      <w:spacing w:before="72" w:after="72"/>
      <w:outlineLvl w:val="8"/>
    </w:pPr>
    <w:rPr>
      <w:rFonts w:ascii="Arial" w:hAnsi="Arial" w:eastAsia="仿宋_GB2312"/>
      <w:kern w:val="0"/>
      <w:sz w:val="20"/>
      <w:lang w:eastAsia="en-US"/>
    </w:rPr>
  </w:style>
  <w:style w:type="paragraph" w:customStyle="1" w:styleId="222">
    <w:name w:val="Level 5: (1)"/>
    <w:basedOn w:val="1"/>
    <w:qFormat/>
    <w:uiPriority w:val="0"/>
    <w:pPr>
      <w:widowControl/>
      <w:numPr>
        <w:ilvl w:val="7"/>
        <w:numId w:val="1"/>
      </w:numPr>
      <w:tabs>
        <w:tab w:val="left" w:pos="1800"/>
      </w:tabs>
      <w:spacing w:before="72" w:after="72"/>
      <w:outlineLvl w:val="7"/>
    </w:pPr>
    <w:rPr>
      <w:rFonts w:ascii="Arial" w:hAnsi="Arial" w:eastAsia="仿宋_GB2312"/>
      <w:kern w:val="0"/>
      <w:sz w:val="20"/>
      <w:lang w:eastAsia="en-US"/>
    </w:rPr>
  </w:style>
  <w:style w:type="paragraph" w:customStyle="1" w:styleId="223">
    <w:name w:val="Body Text Indent"/>
    <w:basedOn w:val="1"/>
    <w:qFormat/>
    <w:uiPriority w:val="0"/>
    <w:pPr>
      <w:spacing w:after="120"/>
      <w:ind w:left="420" w:leftChars="200"/>
    </w:pPr>
    <w:rPr>
      <w:sz w:val="24"/>
    </w:rPr>
  </w:style>
  <w:style w:type="paragraph" w:customStyle="1" w:styleId="224">
    <w:name w:val="文档正文"/>
    <w:basedOn w:val="1"/>
    <w:qFormat/>
    <w:uiPriority w:val="0"/>
    <w:rPr>
      <w:rFonts w:ascii="Arial" w:hAnsi="Arial" w:eastAsia="仿宋_GB2312" w:cs="Arial"/>
      <w:bCs/>
      <w:sz w:val="24"/>
      <w:szCs w:val="28"/>
    </w:rPr>
  </w:style>
  <w:style w:type="paragraph" w:customStyle="1" w:styleId="225">
    <w:name w:val="p0"/>
    <w:basedOn w:val="1"/>
    <w:qFormat/>
    <w:uiPriority w:val="0"/>
    <w:pPr>
      <w:widowControl/>
    </w:pPr>
    <w:rPr>
      <w:rFonts w:ascii="仿宋_GB2312" w:hAnsi="宋体" w:eastAsia="仿宋_GB2312" w:cs="宋体"/>
      <w:kern w:val="0"/>
      <w:sz w:val="28"/>
      <w:szCs w:val="28"/>
    </w:rPr>
  </w:style>
  <w:style w:type="paragraph" w:customStyle="1" w:styleId="226">
    <w:name w:val="PDGInstructions"/>
    <w:basedOn w:val="1"/>
    <w:qFormat/>
    <w:uiPriority w:val="0"/>
    <w:pPr>
      <w:widowControl/>
      <w:spacing w:before="60" w:after="60"/>
      <w:ind w:right="360"/>
      <w:jc w:val="left"/>
    </w:pPr>
    <w:rPr>
      <w:rFonts w:ascii="Garamond" w:hAnsi="Garamond"/>
      <w:color w:val="FF0000"/>
      <w:kern w:val="0"/>
      <w:sz w:val="24"/>
      <w:lang w:eastAsia="en-US"/>
    </w:rPr>
  </w:style>
  <w:style w:type="paragraph" w:customStyle="1" w:styleId="227">
    <w:name w:val="金保标题正文"/>
    <w:qFormat/>
    <w:uiPriority w:val="0"/>
    <w:pPr>
      <w:spacing w:line="360" w:lineRule="auto"/>
      <w:ind w:firstLine="200" w:firstLineChars="200"/>
    </w:pPr>
    <w:rPr>
      <w:rFonts w:ascii="Times New Roman" w:hAnsi="Times New Roman" w:eastAsia="宋体" w:cs="Times New Roman"/>
      <w:kern w:val="2"/>
      <w:sz w:val="24"/>
      <w:szCs w:val="22"/>
      <w:lang w:val="en-US" w:eastAsia="zh-CN" w:bidi="ar-SA"/>
    </w:rPr>
  </w:style>
  <w:style w:type="paragraph" w:customStyle="1" w:styleId="228">
    <w:name w:val="标题6"/>
    <w:basedOn w:val="1"/>
    <w:next w:val="3"/>
    <w:qFormat/>
    <w:uiPriority w:val="0"/>
    <w:pPr>
      <w:widowControl/>
      <w:snapToGrid w:val="0"/>
      <w:spacing w:before="50" w:beforeLines="50" w:after="50" w:afterLines="50" w:line="520" w:lineRule="atLeast"/>
      <w:ind w:firstLine="200" w:firstLineChars="200"/>
    </w:pPr>
    <w:rPr>
      <w:rFonts w:cs="Arial"/>
      <w:b/>
      <w:sz w:val="24"/>
      <w:szCs w:val="24"/>
    </w:rPr>
  </w:style>
  <w:style w:type="paragraph" w:customStyle="1" w:styleId="229">
    <w:name w:val="Achievement"/>
    <w:basedOn w:val="2"/>
    <w:qFormat/>
    <w:uiPriority w:val="0"/>
    <w:pPr>
      <w:widowControl/>
      <w:numPr>
        <w:ilvl w:val="0"/>
        <w:numId w:val="7"/>
      </w:numPr>
      <w:spacing w:after="60" w:line="220" w:lineRule="atLeast"/>
    </w:pPr>
    <w:rPr>
      <w:rFonts w:ascii="Arial" w:hAnsi="Arial" w:eastAsia="宋体"/>
      <w:b w:val="0"/>
      <w:bCs w:val="0"/>
      <w:spacing w:val="-5"/>
      <w:kern w:val="0"/>
      <w:sz w:val="20"/>
      <w:szCs w:val="20"/>
    </w:rPr>
  </w:style>
  <w:style w:type="paragraph" w:customStyle="1" w:styleId="230">
    <w:name w:val="_Style 229"/>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3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
    <w:name w:val="小四缩进"/>
    <w:basedOn w:val="1"/>
    <w:qFormat/>
    <w:uiPriority w:val="0"/>
    <w:pPr>
      <w:spacing w:line="360" w:lineRule="auto"/>
      <w:ind w:firstLine="480" w:firstLineChars="200"/>
    </w:pPr>
    <w:rPr>
      <w:sz w:val="24"/>
      <w:szCs w:val="24"/>
    </w:rPr>
  </w:style>
  <w:style w:type="paragraph" w:customStyle="1" w:styleId="233">
    <w:name w:val="Char Char Char Char"/>
    <w:basedOn w:val="1"/>
    <w:qFormat/>
    <w:uiPriority w:val="0"/>
    <w:pPr>
      <w:widowControl/>
      <w:spacing w:line="400" w:lineRule="exact"/>
      <w:jc w:val="center"/>
    </w:pPr>
    <w:rPr>
      <w:rFonts w:ascii="Verdana" w:hAnsi="Verdana" w:eastAsia="仿宋_GB2312"/>
      <w:kern w:val="0"/>
      <w:sz w:val="28"/>
      <w:lang w:eastAsia="en-US"/>
    </w:rPr>
  </w:style>
  <w:style w:type="paragraph" w:customStyle="1" w:styleId="234">
    <w:name w:val="Level 3: (a)"/>
    <w:basedOn w:val="1"/>
    <w:qFormat/>
    <w:uiPriority w:val="0"/>
    <w:pPr>
      <w:widowControl/>
      <w:numPr>
        <w:ilvl w:val="5"/>
        <w:numId w:val="1"/>
      </w:numPr>
      <w:tabs>
        <w:tab w:val="left" w:pos="1080"/>
      </w:tabs>
      <w:spacing w:before="72" w:after="72"/>
      <w:outlineLvl w:val="5"/>
    </w:pPr>
    <w:rPr>
      <w:rFonts w:ascii="Arial" w:hAnsi="Arial" w:eastAsia="仿宋_GB2312"/>
      <w:kern w:val="0"/>
      <w:sz w:val="20"/>
      <w:lang w:eastAsia="en-US"/>
    </w:rPr>
  </w:style>
  <w:style w:type="paragraph" w:customStyle="1" w:styleId="235">
    <w:name w:val=" Char1 Char Char Char"/>
    <w:basedOn w:val="1"/>
    <w:qFormat/>
    <w:uiPriority w:val="0"/>
    <w:pPr>
      <w:ind w:left="420" w:hanging="420"/>
    </w:pPr>
    <w:rPr>
      <w:rFonts w:ascii="仿宋_GB2312" w:eastAsia="仿宋_GB2312"/>
      <w:sz w:val="24"/>
      <w:szCs w:val="28"/>
    </w:rPr>
  </w:style>
  <w:style w:type="paragraph" w:customStyle="1" w:styleId="236">
    <w:name w:val="正文无缩进"/>
    <w:basedOn w:val="215"/>
    <w:qFormat/>
    <w:uiPriority w:val="0"/>
    <w:pPr>
      <w:ind w:firstLine="0" w:firstLineChars="0"/>
    </w:pPr>
  </w:style>
  <w:style w:type="paragraph" w:customStyle="1" w:styleId="237">
    <w:name w:val="标题3"/>
    <w:basedOn w:val="1"/>
    <w:next w:val="1"/>
    <w:qFormat/>
    <w:uiPriority w:val="0"/>
    <w:pPr>
      <w:keepNext/>
      <w:keepLines/>
      <w:spacing w:before="156" w:beforeLines="50" w:after="156" w:afterLines="50" w:line="360" w:lineRule="auto"/>
      <w:outlineLvl w:val="2"/>
    </w:pPr>
    <w:rPr>
      <w:rFonts w:ascii="仿宋_GB2312" w:eastAsia="仿宋_GB2312"/>
      <w:b/>
      <w:sz w:val="28"/>
      <w:szCs w:val="28"/>
    </w:rPr>
  </w:style>
  <w:style w:type="paragraph" w:customStyle="1" w:styleId="238">
    <w:name w:val="Char1"/>
    <w:basedOn w:val="1"/>
    <w:qFormat/>
    <w:uiPriority w:val="0"/>
    <w:rPr>
      <w:rFonts w:ascii="Tahoma" w:hAnsi="Tahoma" w:eastAsia="仿宋_GB2312"/>
      <w:sz w:val="24"/>
    </w:rPr>
  </w:style>
  <w:style w:type="paragraph" w:customStyle="1" w:styleId="239">
    <w:name w:val="Tabletext"/>
    <w:basedOn w:val="1"/>
    <w:qFormat/>
    <w:uiPriority w:val="0"/>
    <w:pPr>
      <w:keepLines/>
      <w:spacing w:after="120" w:line="240" w:lineRule="atLeast"/>
      <w:jc w:val="left"/>
    </w:pPr>
    <w:rPr>
      <w:rFonts w:ascii="仿宋_GB2312" w:eastAsia="仿宋_GB2312"/>
      <w:kern w:val="0"/>
      <w:sz w:val="24"/>
      <w:lang w:eastAsia="en-US"/>
    </w:rPr>
  </w:style>
  <w:style w:type="paragraph" w:customStyle="1" w:styleId="240">
    <w:name w:val="reader-word-layer reader-word-s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1">
    <w:name w:val="简单回函地址"/>
    <w:basedOn w:val="1"/>
    <w:qFormat/>
    <w:uiPriority w:val="0"/>
    <w:rPr>
      <w:rFonts w:ascii="宋体" w:hAnsi="宋体" w:eastAsia="仿宋_GB2312"/>
      <w:color w:val="000000"/>
      <w:sz w:val="28"/>
      <w:szCs w:val="21"/>
    </w:rPr>
  </w:style>
  <w:style w:type="paragraph" w:customStyle="1" w:styleId="242">
    <w:name w:val="正文文本 21"/>
    <w:basedOn w:val="1"/>
    <w:qFormat/>
    <w:uiPriority w:val="0"/>
    <w:pPr>
      <w:adjustRightInd w:val="0"/>
      <w:spacing w:line="300" w:lineRule="auto"/>
      <w:jc w:val="center"/>
    </w:pPr>
    <w:rPr>
      <w:rFonts w:hint="eastAsia" w:ascii="宋体" w:hAnsi="宋体"/>
      <w:sz w:val="24"/>
    </w:rPr>
  </w:style>
  <w:style w:type="paragraph" w:customStyle="1" w:styleId="243">
    <w:name w:val="List Paragraph1"/>
    <w:basedOn w:val="1"/>
    <w:qFormat/>
    <w:uiPriority w:val="0"/>
    <w:pPr>
      <w:ind w:firstLine="420" w:firstLineChars="200"/>
    </w:pPr>
    <w:rPr>
      <w:szCs w:val="24"/>
    </w:rPr>
  </w:style>
  <w:style w:type="paragraph" w:customStyle="1" w:styleId="244">
    <w:name w:val="_Style 433"/>
    <w:basedOn w:val="2"/>
    <w:next w:val="60"/>
    <w:qFormat/>
    <w:uiPriority w:val="0"/>
    <w:pPr>
      <w:ind w:firstLine="420" w:firstLineChars="100"/>
    </w:pPr>
  </w:style>
  <w:style w:type="paragraph" w:customStyle="1" w:styleId="245">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kern w:val="0"/>
      <w:sz w:val="22"/>
      <w:szCs w:val="22"/>
    </w:rPr>
  </w:style>
  <w:style w:type="paragraph" w:customStyle="1" w:styleId="246">
    <w:name w:val=" Char Char Char Char Char Char Char Char1 Char"/>
    <w:basedOn w:val="1"/>
    <w:qFormat/>
    <w:uiPriority w:val="0"/>
    <w:rPr>
      <w:rFonts w:ascii="仿宋_GB2312" w:eastAsia="仿宋_GB2312"/>
      <w:sz w:val="28"/>
    </w:rPr>
  </w:style>
  <w:style w:type="paragraph" w:customStyle="1" w:styleId="247">
    <w:name w:val="reader-word-layer reader-word-s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8">
    <w:name w:val="reader-word-layer reader-word-s1-1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9">
    <w:name w:val="Default Text:1"/>
    <w:basedOn w:val="1"/>
    <w:qFormat/>
    <w:uiPriority w:val="0"/>
    <w:pPr>
      <w:widowControl/>
      <w:jc w:val="left"/>
    </w:pPr>
    <w:rPr>
      <w:rFonts w:ascii="Tahoma" w:hAnsi="Tahoma" w:eastAsia="仿宋_GB2312" w:cs="Tahoma"/>
      <w:kern w:val="0"/>
      <w:sz w:val="24"/>
      <w:szCs w:val="28"/>
      <w:lang w:eastAsia="en-US"/>
    </w:rPr>
  </w:style>
  <w:style w:type="paragraph" w:customStyle="1" w:styleId="250">
    <w:name w:val="正文段"/>
    <w:basedOn w:val="1"/>
    <w:qFormat/>
    <w:uiPriority w:val="0"/>
    <w:pPr>
      <w:widowControl/>
      <w:snapToGrid w:val="0"/>
      <w:spacing w:afterLines="50"/>
      <w:ind w:firstLine="200" w:firstLineChars="200"/>
    </w:pPr>
    <w:rPr>
      <w:kern w:val="0"/>
      <w:sz w:val="24"/>
    </w:rPr>
  </w:style>
  <w:style w:type="paragraph" w:customStyle="1" w:styleId="251">
    <w:name w:val="Char Char Char Char Char Char Char Char Char Char"/>
    <w:basedOn w:val="1"/>
    <w:qFormat/>
    <w:uiPriority w:val="0"/>
    <w:rPr>
      <w:rFonts w:ascii="Tahoma" w:hAnsi="Tahoma"/>
      <w:sz w:val="24"/>
    </w:rPr>
  </w:style>
  <w:style w:type="paragraph" w:customStyle="1" w:styleId="252">
    <w:name w:val="Char1 Char Char Char"/>
    <w:basedOn w:val="1"/>
    <w:qFormat/>
    <w:uiPriority w:val="0"/>
    <w:pPr>
      <w:ind w:left="420" w:hanging="420"/>
    </w:pPr>
    <w:rPr>
      <w:rFonts w:ascii="仿宋_GB2312" w:eastAsia="仿宋_GB2312"/>
      <w:sz w:val="24"/>
      <w:szCs w:val="28"/>
    </w:rPr>
  </w:style>
  <w:style w:type="paragraph" w:customStyle="1" w:styleId="253">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styleId="254">
    <w:name w:val="List Paragraph"/>
    <w:basedOn w:val="1"/>
    <w:qFormat/>
    <w:uiPriority w:val="0"/>
    <w:pPr>
      <w:ind w:firstLine="420" w:firstLineChars="200"/>
    </w:pPr>
    <w:rPr>
      <w:rFonts w:ascii="Calibri" w:hAnsi="Calibri" w:eastAsia="仿宋_GB2312"/>
      <w:sz w:val="28"/>
      <w:szCs w:val="22"/>
    </w:rPr>
  </w:style>
  <w:style w:type="paragraph" w:customStyle="1" w:styleId="255">
    <w:name w:val="Char1 Char Char Char Char Char Char"/>
    <w:basedOn w:val="1"/>
    <w:qFormat/>
    <w:uiPriority w:val="0"/>
    <w:pPr>
      <w:adjustRightInd w:val="0"/>
    </w:pPr>
    <w:rPr>
      <w:rFonts w:ascii="Tahoma" w:hAnsi="Tahoma"/>
      <w:sz w:val="24"/>
    </w:rPr>
  </w:style>
  <w:style w:type="paragraph" w:customStyle="1" w:styleId="256">
    <w:name w:val="Char Char Char1 Char"/>
    <w:basedOn w:val="1"/>
    <w:qFormat/>
    <w:uiPriority w:val="0"/>
  </w:style>
  <w:style w:type="paragraph" w:customStyle="1" w:styleId="257">
    <w:name w:val="默认段落字体 Para Char"/>
    <w:basedOn w:val="1"/>
    <w:qFormat/>
    <w:uiPriority w:val="0"/>
    <w:pPr>
      <w:spacing w:line="360" w:lineRule="auto"/>
      <w:ind w:firstLine="200" w:firstLineChars="200"/>
    </w:pPr>
    <w:rPr>
      <w:rFonts w:ascii="宋体" w:hAnsi="宋体" w:eastAsia="仿宋_GB2312" w:cs="宋体"/>
      <w:sz w:val="24"/>
      <w:szCs w:val="28"/>
    </w:rPr>
  </w:style>
  <w:style w:type="paragraph" w:customStyle="1" w:styleId="258">
    <w:name w:val="规范正文"/>
    <w:basedOn w:val="1"/>
    <w:qFormat/>
    <w:uiPriority w:val="0"/>
    <w:pPr>
      <w:adjustRightInd w:val="0"/>
      <w:spacing w:line="360" w:lineRule="auto"/>
      <w:ind w:left="480"/>
      <w:textAlignment w:val="baseline"/>
    </w:pPr>
    <w:rPr>
      <w:rFonts w:ascii="仿宋_GB2312" w:eastAsia="仿宋_GB2312"/>
      <w:kern w:val="0"/>
      <w:sz w:val="24"/>
    </w:rPr>
  </w:style>
  <w:style w:type="paragraph" w:customStyle="1" w:styleId="259">
    <w:name w:val="Reset levels"/>
    <w:basedOn w:val="1"/>
    <w:qFormat/>
    <w:uiPriority w:val="0"/>
    <w:pPr>
      <w:widowControl/>
      <w:ind w:left="420" w:hanging="420"/>
      <w:jc w:val="left"/>
    </w:pPr>
    <w:rPr>
      <w:rFonts w:ascii="Arial" w:hAnsi="Arial" w:eastAsia="仿宋_GB2312"/>
      <w:b/>
      <w:kern w:val="0"/>
      <w:sz w:val="24"/>
      <w:lang w:eastAsia="en-US"/>
    </w:rPr>
  </w:style>
  <w:style w:type="paragraph" w:customStyle="1" w:styleId="260">
    <w:name w:val="www正文"/>
    <w:basedOn w:val="1"/>
    <w:qFormat/>
    <w:uiPriority w:val="0"/>
    <w:pPr>
      <w:ind w:firstLine="480" w:firstLineChars="200"/>
    </w:pPr>
    <w:rPr>
      <w:rFonts w:ascii="仿宋_GB2312" w:eastAsia="仿宋_GB2312"/>
      <w:sz w:val="24"/>
      <w:szCs w:val="28"/>
    </w:rPr>
  </w:style>
  <w:style w:type="paragraph" w:customStyle="1" w:styleId="261">
    <w:name w:val="1.1.1Head2"/>
    <w:qFormat/>
    <w:uiPriority w:val="0"/>
    <w:pPr>
      <w:numPr>
        <w:ilvl w:val="2"/>
        <w:numId w:val="8"/>
      </w:numPr>
      <w:tabs>
        <w:tab w:val="left" w:pos="2880"/>
        <w:tab w:val="clear" w:pos="1680"/>
      </w:tabs>
      <w:spacing w:before="28" w:after="28"/>
      <w:outlineLvl w:val="2"/>
    </w:pPr>
    <w:rPr>
      <w:rFonts w:ascii="Arial" w:hAnsi="Arial" w:eastAsia="宋体" w:cs="Times New Roman"/>
      <w:b/>
      <w:lang w:val="en-US" w:eastAsia="en-US" w:bidi="ar-SA"/>
    </w:rPr>
  </w:style>
  <w:style w:type="paragraph" w:customStyle="1" w:styleId="262">
    <w:name w:val="Content Bullet"/>
    <w:basedOn w:val="1"/>
    <w:qFormat/>
    <w:uiPriority w:val="0"/>
    <w:pPr>
      <w:widowControl/>
      <w:tabs>
        <w:tab w:val="left" w:pos="420"/>
        <w:tab w:val="left" w:pos="696"/>
        <w:tab w:val="left" w:pos="3060"/>
        <w:tab w:val="left" w:pos="3600"/>
      </w:tabs>
      <w:spacing w:after="120"/>
      <w:ind w:left="720" w:hanging="720"/>
      <w:jc w:val="left"/>
    </w:pPr>
    <w:rPr>
      <w:rFonts w:ascii="Book Antiqua" w:hAnsi="Book Antiqua" w:eastAsia="仿宋_GB2312"/>
      <w:kern w:val="0"/>
      <w:sz w:val="22"/>
      <w:lang w:val="en-GB" w:eastAsia="en-US"/>
    </w:rPr>
  </w:style>
  <w:style w:type="paragraph" w:customStyle="1" w:styleId="263">
    <w:name w:val="Char Char1 Char Char"/>
    <w:basedOn w:val="1"/>
    <w:semiHidden/>
    <w:qFormat/>
    <w:uiPriority w:val="0"/>
    <w:rPr>
      <w:rFonts w:ascii="仿宋_GB2312" w:eastAsia="仿宋_GB2312"/>
      <w:sz w:val="28"/>
      <w:szCs w:val="28"/>
    </w:rPr>
  </w:style>
  <w:style w:type="paragraph" w:customStyle="1" w:styleId="264">
    <w:name w:val="批注框文本1"/>
    <w:basedOn w:val="1"/>
    <w:qFormat/>
    <w:uiPriority w:val="0"/>
    <w:pPr>
      <w:widowControl/>
      <w:spacing w:before="120" w:line="360" w:lineRule="auto"/>
      <w:jc w:val="left"/>
    </w:pPr>
    <w:rPr>
      <w:rFonts w:ascii="Tahoma" w:hAnsi="Tahoma" w:eastAsia="仿宋_GB2312" w:cs="Tahoma"/>
      <w:kern w:val="0"/>
      <w:sz w:val="16"/>
      <w:szCs w:val="16"/>
      <w:lang w:val="en-GB" w:eastAsia="en-US"/>
    </w:rPr>
  </w:style>
  <w:style w:type="paragraph" w:customStyle="1" w:styleId="265">
    <w:name w:val="reader-word-layer reader-word-s1-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6">
    <w:name w:val="条目2"/>
    <w:basedOn w:val="32"/>
    <w:qFormat/>
    <w:uiPriority w:val="0"/>
    <w:pPr>
      <w:numPr>
        <w:ilvl w:val="0"/>
        <w:numId w:val="9"/>
      </w:numPr>
      <w:tabs>
        <w:tab w:val="left" w:pos="420"/>
      </w:tabs>
      <w:spacing w:line="360" w:lineRule="auto"/>
    </w:pPr>
    <w:rPr>
      <w:rFonts w:cs="Courier New"/>
      <w:color w:val="000000"/>
      <w:sz w:val="24"/>
      <w:szCs w:val="21"/>
    </w:rPr>
  </w:style>
  <w:style w:type="paragraph" w:customStyle="1" w:styleId="267">
    <w:name w:val="Bullet 1"/>
    <w:basedOn w:val="1"/>
    <w:qFormat/>
    <w:uiPriority w:val="0"/>
    <w:pPr>
      <w:widowControl/>
      <w:jc w:val="left"/>
    </w:pPr>
    <w:rPr>
      <w:rFonts w:ascii="Tahoma" w:hAnsi="Tahoma" w:eastAsia="仿宋_GB2312" w:cs="Tahoma"/>
      <w:kern w:val="0"/>
      <w:sz w:val="24"/>
      <w:szCs w:val="28"/>
      <w:lang w:eastAsia="en-US"/>
    </w:rPr>
  </w:style>
  <w:style w:type="paragraph" w:customStyle="1" w:styleId="268">
    <w:name w:val=" Char1 Char Char Char Char Char Char Char Char Char Char Char Char Char Char Char"/>
    <w:basedOn w:val="1"/>
    <w:qFormat/>
    <w:uiPriority w:val="0"/>
    <w:rPr>
      <w:szCs w:val="24"/>
    </w:rPr>
  </w:style>
  <w:style w:type="paragraph" w:customStyle="1" w:styleId="269">
    <w:name w:val="Normal 0.51"/>
    <w:basedOn w:val="1"/>
    <w:qFormat/>
    <w:uiPriority w:val="0"/>
    <w:pPr>
      <w:keepNext/>
      <w:keepLines/>
      <w:widowControl/>
      <w:spacing w:before="180" w:after="120"/>
      <w:ind w:left="720"/>
    </w:pPr>
    <w:rPr>
      <w:rFonts w:ascii="仿宋_GB2312" w:eastAsia="仿宋_GB2312"/>
      <w:kern w:val="0"/>
      <w:sz w:val="24"/>
      <w:lang w:val="en-GB" w:eastAsia="en-US"/>
    </w:rPr>
  </w:style>
  <w:style w:type="paragraph" w:customStyle="1" w:styleId="270">
    <w:name w:val="项目符号2"/>
    <w:basedOn w:val="1"/>
    <w:qFormat/>
    <w:uiPriority w:val="0"/>
    <w:pPr>
      <w:tabs>
        <w:tab w:val="left" w:pos="2591"/>
      </w:tabs>
      <w:snapToGrid w:val="0"/>
      <w:spacing w:line="300" w:lineRule="auto"/>
      <w:ind w:left="2155" w:hanging="284"/>
    </w:pPr>
    <w:rPr>
      <w:rFonts w:ascii="宋体" w:eastAsia="仿宋_GB2312"/>
      <w:sz w:val="24"/>
    </w:rPr>
  </w:style>
  <w:style w:type="paragraph" w:customStyle="1" w:styleId="271">
    <w:name w:val="1.1.1.1Heading3"/>
    <w:basedOn w:val="5"/>
    <w:qFormat/>
    <w:uiPriority w:val="0"/>
    <w:pPr>
      <w:keepLines w:val="0"/>
      <w:widowControl/>
      <w:numPr>
        <w:ilvl w:val="2"/>
        <w:numId w:val="10"/>
      </w:numPr>
      <w:tabs>
        <w:tab w:val="left" w:pos="2292"/>
        <w:tab w:val="clear" w:pos="2160"/>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272">
    <w:name w:val="reader-word-layer reader-word-s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3">
    <w:name w:val=" Char1"/>
    <w:basedOn w:val="1"/>
    <w:qFormat/>
    <w:uiPriority w:val="0"/>
    <w:rPr>
      <w:rFonts w:ascii="仿宋_GB2312" w:eastAsia="仿宋_GB2312"/>
      <w:b/>
      <w:sz w:val="32"/>
      <w:szCs w:val="32"/>
    </w:rPr>
  </w:style>
  <w:style w:type="paragraph" w:customStyle="1" w:styleId="274">
    <w:name w:val="标题 3.1"/>
    <w:basedOn w:val="5"/>
    <w:qFormat/>
    <w:uiPriority w:val="0"/>
    <w:pPr>
      <w:tabs>
        <w:tab w:val="left" w:pos="5614"/>
      </w:tabs>
      <w:spacing w:line="600" w:lineRule="exact"/>
    </w:pPr>
    <w:rPr>
      <w:rFonts w:ascii="仿宋_GB2312"/>
      <w:sz w:val="36"/>
    </w:rPr>
  </w:style>
  <w:style w:type="paragraph" w:customStyle="1" w:styleId="275">
    <w:name w:val="RFI Heading 1st Level"/>
    <w:basedOn w:val="1"/>
    <w:qFormat/>
    <w:uiPriority w:val="0"/>
    <w:pPr>
      <w:widowControl/>
      <w:spacing w:before="120" w:after="240"/>
      <w:jc w:val="left"/>
    </w:pPr>
    <w:rPr>
      <w:rFonts w:ascii="Arial (W1)" w:hAnsi="Arial (W1)" w:eastAsia="仿宋_GB2312"/>
      <w:b/>
      <w:bCs/>
      <w:color w:val="0000FF"/>
      <w:kern w:val="0"/>
      <w:sz w:val="32"/>
      <w:szCs w:val="28"/>
      <w:lang w:val="en-GB"/>
    </w:rPr>
  </w:style>
  <w:style w:type="paragraph" w:customStyle="1" w:styleId="276">
    <w:name w:val="Normal 1.0"/>
    <w:basedOn w:val="1"/>
    <w:qFormat/>
    <w:uiPriority w:val="0"/>
    <w:pPr>
      <w:keepLines/>
      <w:widowControl/>
      <w:spacing w:before="180" w:after="120"/>
      <w:ind w:left="1440"/>
    </w:pPr>
    <w:rPr>
      <w:rFonts w:ascii="仿宋_GB2312" w:eastAsia="仿宋_GB2312"/>
      <w:kern w:val="0"/>
      <w:sz w:val="24"/>
      <w:szCs w:val="28"/>
      <w:lang w:val="en-GB" w:eastAsia="en-US"/>
    </w:rPr>
  </w:style>
  <w:style w:type="paragraph" w:customStyle="1" w:styleId="277">
    <w:name w:val="标题2正文 Char"/>
    <w:basedOn w:val="1"/>
    <w:qFormat/>
    <w:uiPriority w:val="0"/>
    <w:pPr>
      <w:snapToGrid w:val="0"/>
      <w:spacing w:line="360" w:lineRule="auto"/>
      <w:ind w:firstLine="480" w:firstLineChars="200"/>
    </w:pPr>
    <w:rPr>
      <w:sz w:val="24"/>
      <w:szCs w:val="24"/>
    </w:rPr>
  </w:style>
  <w:style w:type="paragraph" w:customStyle="1" w:styleId="278">
    <w:name w:val="Proposals body"/>
    <w:basedOn w:val="1"/>
    <w:next w:val="1"/>
    <w:qFormat/>
    <w:uiPriority w:val="0"/>
    <w:pPr>
      <w:widowControl/>
      <w:spacing w:line="360" w:lineRule="auto"/>
      <w:jc w:val="left"/>
    </w:pPr>
    <w:rPr>
      <w:rFonts w:ascii="宋体" w:eastAsia="仿宋_GB2312"/>
      <w:snapToGrid w:val="0"/>
      <w:color w:val="000000"/>
      <w:kern w:val="0"/>
      <w:sz w:val="24"/>
    </w:rPr>
  </w:style>
  <w:style w:type="paragraph" w:customStyle="1" w:styleId="279">
    <w:name w:val="标题2正文"/>
    <w:basedOn w:val="1"/>
    <w:qFormat/>
    <w:uiPriority w:val="0"/>
    <w:pPr>
      <w:snapToGrid w:val="0"/>
      <w:spacing w:line="360" w:lineRule="auto"/>
      <w:ind w:firstLine="480" w:firstLineChars="200"/>
    </w:pPr>
    <w:rPr>
      <w:sz w:val="24"/>
      <w:szCs w:val="24"/>
    </w:rPr>
  </w:style>
  <w:style w:type="paragraph" w:customStyle="1" w:styleId="280">
    <w:name w:val="1 Char Char Char Char"/>
    <w:basedOn w:val="1"/>
    <w:qFormat/>
    <w:uiPriority w:val="0"/>
    <w:rPr>
      <w:rFonts w:ascii="Tahoma" w:hAnsi="Tahoma"/>
      <w:sz w:val="24"/>
    </w:rPr>
  </w:style>
  <w:style w:type="paragraph" w:customStyle="1" w:styleId="281">
    <w:name w:val="小条目 Char Char"/>
    <w:basedOn w:val="1"/>
    <w:qFormat/>
    <w:uiPriority w:val="0"/>
    <w:pPr>
      <w:tabs>
        <w:tab w:val="left" w:pos="360"/>
        <w:tab w:val="left" w:pos="2160"/>
      </w:tabs>
      <w:spacing w:line="360" w:lineRule="auto"/>
      <w:ind w:left="6" w:firstLine="420"/>
    </w:pPr>
    <w:rPr>
      <w:rFonts w:ascii="宋体" w:hAnsi="Arial" w:eastAsia="仿宋_GB2312" w:cs="Arial"/>
      <w:b/>
      <w:bCs/>
      <w:caps/>
      <w:kern w:val="44"/>
      <w:sz w:val="24"/>
      <w:szCs w:val="44"/>
    </w:rPr>
  </w:style>
  <w:style w:type="paragraph" w:customStyle="1" w:styleId="282">
    <w:name w:val="p18"/>
    <w:basedOn w:val="1"/>
    <w:qFormat/>
    <w:uiPriority w:val="0"/>
    <w:pPr>
      <w:widowControl/>
      <w:spacing w:before="156" w:after="156" w:line="400" w:lineRule="atLeast"/>
    </w:pPr>
    <w:rPr>
      <w:rFonts w:ascii="宋体" w:hAnsi="宋体" w:cs="宋体"/>
      <w:kern w:val="0"/>
      <w:sz w:val="24"/>
      <w:szCs w:val="24"/>
    </w:rPr>
  </w:style>
  <w:style w:type="paragraph" w:customStyle="1" w:styleId="283">
    <w:name w:val="项目1"/>
    <w:basedOn w:val="15"/>
    <w:next w:val="15"/>
    <w:qFormat/>
    <w:uiPriority w:val="0"/>
    <w:pPr>
      <w:widowControl w:val="0"/>
      <w:numPr>
        <w:ilvl w:val="3"/>
        <w:numId w:val="11"/>
      </w:numPr>
      <w:adjustRightInd/>
      <w:snapToGrid/>
      <w:spacing w:before="156" w:beforeLines="50" w:after="156"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284">
    <w:name w:val="Style Left:  0.81&quot; First line:  0&quot; Line spacing:  1.5 lines Char"/>
    <w:basedOn w:val="1"/>
    <w:qFormat/>
    <w:uiPriority w:val="0"/>
    <w:pPr>
      <w:widowControl/>
      <w:spacing w:line="360" w:lineRule="auto"/>
      <w:ind w:left="1152"/>
    </w:pPr>
    <w:rPr>
      <w:rFonts w:ascii="仿宋_GB2312" w:eastAsia="仿宋_GB2312"/>
      <w:kern w:val="0"/>
      <w:sz w:val="24"/>
      <w:lang w:eastAsia="en-US"/>
    </w:rPr>
  </w:style>
  <w:style w:type="paragraph" w:customStyle="1" w:styleId="285">
    <w:name w:val="reader-word-layer reader-word-s2-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
    <w:name w:val="Level 2: 1."/>
    <w:qFormat/>
    <w:uiPriority w:val="0"/>
    <w:pPr>
      <w:numPr>
        <w:ilvl w:val="4"/>
        <w:numId w:val="1"/>
      </w:numPr>
      <w:tabs>
        <w:tab w:val="left" w:pos="720"/>
      </w:tabs>
      <w:spacing w:before="72" w:after="72"/>
      <w:jc w:val="both"/>
      <w:outlineLvl w:val="4"/>
    </w:pPr>
    <w:rPr>
      <w:rFonts w:ascii="Arial" w:hAnsi="Arial" w:eastAsia="宋体" w:cs="Times New Roman"/>
      <w:lang w:val="en-US" w:eastAsia="en-US" w:bidi="ar-SA"/>
    </w:rPr>
  </w:style>
  <w:style w:type="paragraph" w:customStyle="1" w:styleId="287">
    <w:name w:val="RFI Bullet 1st Level"/>
    <w:basedOn w:val="1"/>
    <w:qFormat/>
    <w:uiPriority w:val="0"/>
    <w:pPr>
      <w:widowControl/>
      <w:spacing w:before="60" w:after="60"/>
      <w:ind w:left="1440" w:hanging="360"/>
    </w:pPr>
    <w:rPr>
      <w:rFonts w:ascii="Arial (W1)" w:hAnsi="Arial (W1)" w:eastAsia="仿宋_GB2312"/>
      <w:kern w:val="0"/>
      <w:sz w:val="24"/>
      <w:szCs w:val="28"/>
      <w:lang w:val="en-GB" w:eastAsia="en-US"/>
    </w:rPr>
  </w:style>
  <w:style w:type="paragraph" w:customStyle="1" w:styleId="288">
    <w:name w:val="Head1"/>
    <w:qFormat/>
    <w:uiPriority w:val="0"/>
    <w:pPr>
      <w:numPr>
        <w:ilvl w:val="1"/>
        <w:numId w:val="1"/>
      </w:numPr>
      <w:pBdr>
        <w:top w:val="single" w:color="auto" w:sz="6" w:space="1"/>
      </w:pBdr>
      <w:tabs>
        <w:tab w:val="left" w:pos="576"/>
      </w:tabs>
      <w:spacing w:before="28" w:after="28"/>
      <w:outlineLvl w:val="1"/>
    </w:pPr>
    <w:rPr>
      <w:rFonts w:ascii="Arial" w:hAnsi="Arial" w:eastAsia="宋体" w:cs="Times New Roman"/>
      <w:b/>
      <w:sz w:val="22"/>
      <w:lang w:val="en-US" w:eastAsia="en-US" w:bidi="ar-SA"/>
    </w:rPr>
  </w:style>
  <w:style w:type="paragraph" w:customStyle="1" w:styleId="289">
    <w:name w:val="Level 1: a."/>
    <w:qFormat/>
    <w:uiPriority w:val="0"/>
    <w:pPr>
      <w:numPr>
        <w:ilvl w:val="3"/>
        <w:numId w:val="1"/>
      </w:numPr>
      <w:tabs>
        <w:tab w:val="left" w:pos="360"/>
      </w:tabs>
      <w:spacing w:before="72" w:after="72"/>
      <w:jc w:val="both"/>
      <w:outlineLvl w:val="3"/>
    </w:pPr>
    <w:rPr>
      <w:rFonts w:ascii="Arial" w:hAnsi="Arial" w:eastAsia="宋体" w:cs="Times New Roman"/>
      <w:lang w:val="en-US" w:eastAsia="en-US" w:bidi="ar-SA"/>
    </w:rPr>
  </w:style>
  <w:style w:type="paragraph" w:customStyle="1" w:styleId="290">
    <w:name w:val="RFI text from 3rd Level"/>
    <w:basedOn w:val="291"/>
    <w:qFormat/>
    <w:uiPriority w:val="0"/>
    <w:pPr>
      <w:numPr>
        <w:ilvl w:val="0"/>
        <w:numId w:val="0"/>
      </w:numPr>
      <w:tabs>
        <w:tab w:val="left" w:pos="360"/>
        <w:tab w:val="left" w:pos="1080"/>
      </w:tabs>
    </w:pPr>
    <w:rPr>
      <w:b w:val="0"/>
      <w:lang w:eastAsia="zh-CN"/>
    </w:rPr>
  </w:style>
  <w:style w:type="paragraph" w:customStyle="1" w:styleId="291">
    <w:name w:val="RFI text from 2nd Level"/>
    <w:basedOn w:val="190"/>
    <w:qFormat/>
    <w:uiPriority w:val="0"/>
    <w:pPr>
      <w:tabs>
        <w:tab w:val="left" w:pos="360"/>
        <w:tab w:val="clear" w:pos="720"/>
      </w:tabs>
      <w:ind w:left="720"/>
    </w:pPr>
    <w:rPr>
      <w:b/>
      <w:bCs/>
      <w:color w:val="auto"/>
    </w:rPr>
  </w:style>
  <w:style w:type="paragraph" w:customStyle="1" w:styleId="292">
    <w:name w:val="Style Heading 3 + Line spacing:  1.5 lines"/>
    <w:basedOn w:val="5"/>
    <w:qFormat/>
    <w:uiPriority w:val="0"/>
    <w:pPr>
      <w:keepLines w:val="0"/>
      <w:widowControl/>
      <w:numPr>
        <w:ilvl w:val="2"/>
        <w:numId w:val="12"/>
      </w:numPr>
      <w:tabs>
        <w:tab w:val="left" w:pos="1152"/>
        <w:tab w:val="left" w:pos="1680"/>
      </w:tabs>
      <w:spacing w:before="0" w:after="0" w:line="360" w:lineRule="auto"/>
      <w:ind w:left="236" w:leftChars="236"/>
    </w:pPr>
    <w:rPr>
      <w:rFonts w:ascii="仿宋_GB2312" w:eastAsia="黑体"/>
      <w:sz w:val="28"/>
      <w:szCs w:val="28"/>
    </w:rPr>
  </w:style>
  <w:style w:type="paragraph" w:customStyle="1" w:styleId="293">
    <w:name w:val="p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4">
    <w:name w:val="kx"/>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95">
    <w:name w:val="reader-word-layer reader-word-s1-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6">
    <w:name w:val="列表内容"/>
    <w:basedOn w:val="1"/>
    <w:next w:val="1"/>
    <w:qFormat/>
    <w:uiPriority w:val="0"/>
    <w:pPr>
      <w:widowControl/>
      <w:tabs>
        <w:tab w:val="left" w:pos="840"/>
      </w:tabs>
      <w:ind w:left="420" w:hanging="420"/>
      <w:jc w:val="left"/>
    </w:pPr>
    <w:rPr>
      <w:rFonts w:ascii="仿宋_GB2312" w:eastAsia="仿宋_GB2312"/>
      <w:kern w:val="0"/>
      <w:sz w:val="18"/>
      <w:szCs w:val="28"/>
    </w:rPr>
  </w:style>
  <w:style w:type="paragraph" w:customStyle="1" w:styleId="297">
    <w:name w:val="reader-word-layer reader-word-s1-2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8">
    <w:name w:val=" Char"/>
    <w:basedOn w:val="1"/>
    <w:qFormat/>
    <w:uiPriority w:val="0"/>
    <w:rPr>
      <w:rFonts w:ascii="仿宋_GB2312" w:eastAsia="仿宋_GB2312"/>
      <w:sz w:val="28"/>
      <w:szCs w:val="28"/>
    </w:rPr>
  </w:style>
  <w:style w:type="paragraph" w:customStyle="1" w:styleId="299">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0">
    <w:name w:val="Char"/>
    <w:basedOn w:val="1"/>
    <w:qFormat/>
    <w:uiPriority w:val="0"/>
    <w:rPr>
      <w:rFonts w:ascii="仿宋_GB2312" w:eastAsia="仿宋_GB2312"/>
      <w:b/>
      <w:sz w:val="32"/>
      <w:szCs w:val="32"/>
    </w:rPr>
  </w:style>
  <w:style w:type="paragraph" w:customStyle="1" w:styleId="301">
    <w:name w:val="Style Body Text Indent 2 + 11 pt Line spacing:  1.5 lines"/>
    <w:basedOn w:val="36"/>
    <w:qFormat/>
    <w:uiPriority w:val="0"/>
    <w:pPr>
      <w:widowControl/>
      <w:tabs>
        <w:tab w:val="left" w:pos="900"/>
      </w:tabs>
      <w:spacing w:line="360" w:lineRule="auto"/>
      <w:ind w:firstLine="0" w:firstLineChars="0"/>
    </w:pPr>
    <w:rPr>
      <w:rFonts w:ascii="宋体" w:hAnsi="宋体"/>
      <w:kern w:val="0"/>
      <w:sz w:val="22"/>
      <w:szCs w:val="20"/>
      <w:lang w:val="en-GB"/>
    </w:rPr>
  </w:style>
  <w:style w:type="paragraph" w:customStyle="1" w:styleId="302">
    <w:name w:val="日期右"/>
    <w:basedOn w:val="35"/>
    <w:qFormat/>
    <w:uiPriority w:val="0"/>
    <w:pPr>
      <w:spacing w:line="600" w:lineRule="exact"/>
      <w:ind w:left="0" w:leftChars="0"/>
      <w:jc w:val="right"/>
    </w:pPr>
    <w:rPr>
      <w:rFonts w:ascii="Calibri" w:hAnsi="Calibri" w:eastAsia="仿宋_GB2312"/>
      <w:sz w:val="31"/>
      <w:szCs w:val="24"/>
    </w:rPr>
  </w:style>
  <w:style w:type="paragraph" w:customStyle="1" w:styleId="30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4">
    <w:name w:val="_Style 56"/>
    <w:basedOn w:val="1"/>
    <w:qFormat/>
    <w:uiPriority w:val="0"/>
    <w:rPr>
      <w:rFonts w:ascii="仿宋_GB2312" w:eastAsia="仿宋_GB2312"/>
      <w:b/>
      <w:sz w:val="32"/>
      <w:szCs w:val="32"/>
    </w:rPr>
  </w:style>
  <w:style w:type="paragraph" w:styleId="305">
    <w:name w:val="No Spacing"/>
    <w:qFormat/>
    <w:uiPriority w:val="0"/>
    <w:rPr>
      <w:rFonts w:ascii="Times New Roman" w:hAnsi="Times New Roman" w:eastAsia="宋体" w:cs="Times New Roman"/>
      <w:sz w:val="22"/>
      <w:szCs w:val="22"/>
      <w:lang w:val="en-US" w:eastAsia="en-US" w:bidi="en-US"/>
    </w:rPr>
  </w:style>
  <w:style w:type="paragraph" w:customStyle="1" w:styleId="306">
    <w:name w:val="reader-word-layer reader-word-s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7">
    <w:name w:val="kp"/>
    <w:basedOn w:val="1"/>
    <w:qFormat/>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308">
    <w:name w:val="Level 4: (i)"/>
    <w:basedOn w:val="1"/>
    <w:qFormat/>
    <w:uiPriority w:val="0"/>
    <w:pPr>
      <w:widowControl/>
      <w:numPr>
        <w:ilvl w:val="6"/>
        <w:numId w:val="1"/>
      </w:numPr>
      <w:tabs>
        <w:tab w:val="left" w:pos="1440"/>
      </w:tabs>
      <w:spacing w:before="72" w:after="72"/>
      <w:outlineLvl w:val="6"/>
    </w:pPr>
    <w:rPr>
      <w:rFonts w:ascii="Arial" w:hAnsi="Arial" w:eastAsia="仿宋_GB2312"/>
      <w:kern w:val="0"/>
      <w:sz w:val="20"/>
      <w:lang w:eastAsia="en-US"/>
    </w:rPr>
  </w:style>
  <w:style w:type="paragraph" w:customStyle="1" w:styleId="309">
    <w:name w:val="标题3正文"/>
    <w:basedOn w:val="1"/>
    <w:qFormat/>
    <w:uiPriority w:val="0"/>
    <w:pPr>
      <w:snapToGrid w:val="0"/>
      <w:spacing w:line="360" w:lineRule="auto"/>
      <w:ind w:firstLine="480" w:firstLineChars="200"/>
    </w:pPr>
    <w:rPr>
      <w:sz w:val="24"/>
      <w:szCs w:val="24"/>
    </w:rPr>
  </w:style>
  <w:style w:type="paragraph" w:customStyle="1" w:styleId="310">
    <w:name w:val=" Char2"/>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衢州市政府采购中心</Company>
  <Pages>36</Pages>
  <Words>23022</Words>
  <Characters>24288</Characters>
  <Lines>212</Lines>
  <Paragraphs>59</Paragraphs>
  <TotalTime>6</TotalTime>
  <ScaleCrop>false</ScaleCrop>
  <LinksUpToDate>false</LinksUpToDate>
  <CharactersWithSpaces>25903</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2017-12-30T02:51:00Z</dcterms:created>
  <dc:creator>W</dc:creator>
  <cp:lastModifiedBy>撸起袖子就是干！</cp:lastModifiedBy>
  <cp:lastPrinted>2021-12-30T18:53:00Z</cp:lastPrinted>
  <dcterms:modified xsi:type="dcterms:W3CDTF">2022-08-04T08:37:41Z</dcterms:modified>
  <dc:title>政府采购招标文件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ECD93786790646BE99BA6351BCAD088D</vt:lpwstr>
  </property>
</Properties>
</file>